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77777777"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This Study will evaluate and confirm solutions to address the minimum necessary specifications for NB-</w:t>
      </w:r>
      <w:proofErr w:type="spellStart"/>
      <w:r>
        <w:rPr>
          <w:color w:val="0070C0"/>
        </w:rPr>
        <w:t>IoT</w:t>
      </w:r>
      <w:proofErr w:type="spellEnd"/>
      <w:r>
        <w:rPr>
          <w:color w:val="0070C0"/>
        </w:rPr>
        <w:t xml:space="preserve">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The second objective is, for the above identified scenarios, to study and recommend necessary changes to support NB-</w:t>
      </w:r>
      <w:proofErr w:type="spellStart"/>
      <w:r>
        <w:rPr>
          <w:color w:val="0070C0"/>
        </w:rPr>
        <w:t>IoT</w:t>
      </w:r>
      <w:proofErr w:type="spellEnd"/>
      <w:r>
        <w:rPr>
          <w:color w:val="0070C0"/>
        </w:rPr>
        <w:t xml:space="preserve">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w:t>
      </w:r>
      <w:proofErr w:type="spellStart"/>
      <w:r>
        <w:rPr>
          <w:color w:val="0070C0"/>
        </w:rPr>
        <w:t>IoT</w:t>
      </w:r>
      <w:proofErr w:type="spellEnd"/>
      <w:r>
        <w:rPr>
          <w:color w:val="0070C0"/>
        </w:rPr>
        <w:t xml:space="preserve">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w:t>
      </w:r>
      <w:proofErr w:type="spellStart"/>
      <w:r>
        <w:rPr>
          <w:color w:val="0070C0"/>
        </w:rPr>
        <w:t>IoT</w:t>
      </w:r>
      <w:proofErr w:type="spellEnd"/>
      <w:r>
        <w:rPr>
          <w:color w:val="0070C0"/>
        </w:rPr>
        <w: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w:t>
            </w:r>
            <w:proofErr w:type="spellStart"/>
            <w:r>
              <w:rPr>
                <w:lang w:eastAsia="zh-CN"/>
              </w:rPr>
              <w:t>IoT</w:t>
            </w:r>
            <w:proofErr w:type="spellEnd"/>
            <w:r>
              <w:rPr>
                <w:lang w:eastAsia="zh-CN"/>
              </w:rPr>
              <w:t xml:space="preserve">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w:t>
      </w:r>
      <w:proofErr w:type="spellStart"/>
      <w:r>
        <w:rPr>
          <w:rFonts w:eastAsia="宋体"/>
          <w:color w:val="0070C0"/>
          <w:lang w:eastAsia="zh-CN"/>
        </w:rPr>
        <w:t>IoT</w:t>
      </w:r>
      <w:proofErr w:type="spellEnd"/>
      <w:r>
        <w:rPr>
          <w:rFonts w:eastAsia="宋体"/>
          <w:color w:val="0070C0"/>
          <w:lang w:eastAsia="zh-CN"/>
        </w:rPr>
        <w:t xml:space="preserve"> / </w:t>
      </w:r>
      <w:proofErr w:type="spellStart"/>
      <w:r>
        <w:rPr>
          <w:rFonts w:eastAsia="宋体"/>
          <w:color w:val="0070C0"/>
          <w:lang w:eastAsia="zh-CN"/>
        </w:rPr>
        <w:t>eMTC</w:t>
      </w:r>
      <w:proofErr w:type="spellEnd"/>
      <w:r>
        <w:rPr>
          <w:rFonts w:eastAsia="宋体"/>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7290B84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 xml:space="preserve">CATT, vivo, MTK-Eutelsat,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APT, Xiaomi, Samsung, Apple</w:t>
      </w:r>
    </w:p>
    <w:p w14:paraId="50CA6ABA" w14:textId="77777777"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xml:space="preserve">, vivo,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Xiaomi, Samsung, Apple</w:t>
      </w:r>
    </w:p>
    <w:p w14:paraId="006D363E"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2EB2DA3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8"/>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8"/>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a8"/>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8"/>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w:t>
            </w:r>
            <w:proofErr w:type="spellStart"/>
            <w:r>
              <w:rPr>
                <w:b w:val="0"/>
                <w:bCs w:val="0"/>
                <w:lang w:eastAsia="zh-TW"/>
              </w:rPr>
              <w:t>Io</w:t>
            </w:r>
            <w:r w:rsidRPr="00A83784">
              <w:rPr>
                <w:b w:val="0"/>
                <w:bCs w:val="0"/>
                <w:lang w:eastAsia="zh-TW"/>
              </w:rPr>
              <w:t>T</w:t>
            </w:r>
            <w:proofErr w:type="spellEnd"/>
            <w:r w:rsidRPr="00A83784">
              <w:rPr>
                <w:b w:val="0"/>
                <w:bCs w:val="0"/>
                <w:lang w:eastAsia="zh-TW"/>
              </w:rPr>
              <w:t xml:space="preserve">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8"/>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8"/>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It would be helpful to discuss the impact of long RTT on each timing relationship in NB-</w:t>
            </w:r>
            <w:proofErr w:type="spellStart"/>
            <w:r>
              <w:rPr>
                <w:b w:val="0"/>
                <w:bCs w:val="0"/>
                <w:lang w:eastAsia="zh-TW"/>
              </w:rPr>
              <w:t>IoT</w:t>
            </w:r>
            <w:proofErr w:type="spellEnd"/>
            <w:r>
              <w:rPr>
                <w:b w:val="0"/>
                <w:bCs w:val="0"/>
                <w:lang w:eastAsia="zh-TW"/>
              </w:rPr>
              <w:t xml:space="preserve"> / </w:t>
            </w:r>
            <w:proofErr w:type="spellStart"/>
            <w:r>
              <w:rPr>
                <w:b w:val="0"/>
                <w:bCs w:val="0"/>
                <w:lang w:eastAsia="zh-TW"/>
              </w:rPr>
              <w:t>eMTC</w:t>
            </w:r>
            <w:proofErr w:type="spellEnd"/>
            <w:r>
              <w:rPr>
                <w:b w:val="0"/>
                <w:bCs w:val="0"/>
                <w:lang w:eastAsia="zh-TW"/>
              </w:rPr>
              <w:t>. Identify if there are specific issues for NB-</w:t>
            </w:r>
            <w:proofErr w:type="spellStart"/>
            <w:r>
              <w:rPr>
                <w:b w:val="0"/>
                <w:bCs w:val="0"/>
                <w:lang w:eastAsia="zh-TW"/>
              </w:rPr>
              <w:t>IoT</w:t>
            </w:r>
            <w:proofErr w:type="spellEnd"/>
            <w:r>
              <w:rPr>
                <w:b w:val="0"/>
                <w:bCs w:val="0"/>
                <w:lang w:eastAsia="zh-TW"/>
              </w:rPr>
              <w:t xml:space="preserve">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fine with Ericsson suggestion to further discuss the TA understanding with long RTT. The TA is used in cellular NB-</w:t>
            </w:r>
            <w:proofErr w:type="spellStart"/>
            <w:r>
              <w:rPr>
                <w:b w:val="0"/>
                <w:bCs w:val="0"/>
                <w:lang w:eastAsia="zh-TW"/>
              </w:rPr>
              <w:t>IoT</w:t>
            </w:r>
            <w:proofErr w:type="spellEnd"/>
            <w:r>
              <w:rPr>
                <w:b w:val="0"/>
                <w:bCs w:val="0"/>
                <w:lang w:eastAsia="zh-TW"/>
              </w:rPr>
              <w:t xml:space="preserve">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Koffset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xml:space="preserve">,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Many responding companies suggest that we study timing relationships in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Timing advance (TA) is used in terrestrial NB-</w:t>
      </w:r>
      <w:proofErr w:type="spellStart"/>
      <w:r>
        <w:rPr>
          <w:b w:val="0"/>
          <w:bCs w:val="0"/>
          <w:lang w:eastAsia="zh-TW"/>
        </w:rPr>
        <w:t>IoT</w:t>
      </w:r>
      <w:proofErr w:type="spellEnd"/>
      <w:r>
        <w:rPr>
          <w:b w:val="0"/>
          <w:bCs w:val="0"/>
          <w:lang w:eastAsia="zh-TW"/>
        </w:rPr>
        <w:t xml:space="preserve">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2"/>
        <w:tblW w:w="0" w:type="auto"/>
        <w:jc w:val="center"/>
        <w:tblLook w:val="04A0" w:firstRow="1" w:lastRow="0" w:firstColumn="1" w:lastColumn="0" w:noHBand="0" w:noVBand="1"/>
      </w:tblPr>
      <w:tblGrid>
        <w:gridCol w:w="4829"/>
        <w:gridCol w:w="2028"/>
        <w:gridCol w:w="2450"/>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af2"/>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In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Spreadtrum</w:t>
            </w:r>
            <w:proofErr w:type="spellEnd"/>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宋体"/>
          <w:highlight w:val="yellow"/>
        </w:rPr>
      </w:pPr>
      <w:r w:rsidRPr="003E17AA">
        <w:rPr>
          <w:rFonts w:eastAsia="宋体"/>
          <w:highlight w:val="yellow"/>
        </w:rPr>
        <w:t xml:space="preserve">For </w:t>
      </w:r>
      <w:proofErr w:type="spellStart"/>
      <w:r w:rsidR="00AC4761" w:rsidRPr="003E17AA">
        <w:rPr>
          <w:rFonts w:eastAsia="宋体"/>
          <w:highlight w:val="yellow"/>
        </w:rPr>
        <w:t>Emtc</w:t>
      </w:r>
      <w:proofErr w:type="spellEnd"/>
      <w:r w:rsidRPr="003E17AA">
        <w:rPr>
          <w:rFonts w:eastAsia="宋体"/>
          <w:highlight w:val="yellow"/>
        </w:rPr>
        <w:t xml:space="preserve">,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00AC4761"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Revised wordings from Ericsson, Huawei or </w:t>
            </w:r>
            <w:proofErr w:type="spellStart"/>
            <w:r>
              <w:rPr>
                <w:b w:val="0"/>
                <w:bCs w:val="0"/>
              </w:rPr>
              <w:t>Mediatek</w:t>
            </w:r>
            <w:proofErr w:type="spellEnd"/>
            <w:r>
              <w:rPr>
                <w:b w:val="0"/>
                <w:bCs w:val="0"/>
              </w:rPr>
              <w:t xml:space="preserve">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8"/>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8"/>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proofErr w:type="spellStart"/>
      <w:r>
        <w:rPr>
          <w:rFonts w:eastAsia="宋体"/>
          <w:color w:val="548DD4" w:themeColor="text2" w:themeTint="99"/>
        </w:rPr>
        <w:t>Spreadtrum</w:t>
      </w:r>
      <w:proofErr w:type="spellEnd"/>
      <w:r>
        <w:rPr>
          <w:rFonts w:eastAsia="宋体"/>
          <w:color w:val="548DD4" w:themeColor="text2" w:themeTint="99"/>
        </w:rPr>
        <w:t>,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 xml:space="preserve">MTK-Eutelsat, </w:t>
      </w:r>
      <w:proofErr w:type="spellStart"/>
      <w:r>
        <w:rPr>
          <w:rFonts w:eastAsia="宋体"/>
          <w:color w:val="548DD4" w:themeColor="text2" w:themeTint="99"/>
          <w:lang w:eastAsia="zh-CN"/>
        </w:rPr>
        <w:t>Spreadtrum</w:t>
      </w:r>
      <w:proofErr w:type="spellEnd"/>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r>
        <w:t>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w:t>
            </w:r>
            <w:proofErr w:type="spellStart"/>
            <w:r>
              <w:rPr>
                <w:bCs/>
                <w:iCs/>
                <w:sz w:val="20"/>
                <w:szCs w:val="20"/>
              </w:rPr>
              <w:t>IoT</w:t>
            </w:r>
            <w:proofErr w:type="spellEnd"/>
            <w:r>
              <w:rPr>
                <w:bCs/>
                <w:iCs/>
                <w:sz w:val="20"/>
                <w:szCs w:val="20"/>
              </w:rPr>
              <w: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8"/>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8"/>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w:t>
            </w:r>
            <w:proofErr w:type="spellStart"/>
            <w:r>
              <w:rPr>
                <w:bCs/>
                <w:sz w:val="20"/>
                <w:szCs w:val="20"/>
              </w:rPr>
              <w:t>IoT</w:t>
            </w:r>
            <w:proofErr w:type="spellEnd"/>
            <w:r>
              <w:rPr>
                <w:bCs/>
                <w:sz w:val="20"/>
                <w:szCs w:val="20"/>
              </w:rPr>
              <w:t xml:space="preserve">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w:t>
            </w:r>
            <w:proofErr w:type="spellStart"/>
            <w:r>
              <w:rPr>
                <w:bCs/>
                <w:sz w:val="20"/>
                <w:szCs w:val="20"/>
                <w:lang w:eastAsia="sv-SE"/>
              </w:rPr>
              <w:t>IoT</w:t>
            </w:r>
            <w:proofErr w:type="spellEnd"/>
            <w:r>
              <w:rPr>
                <w:bCs/>
                <w:sz w:val="20"/>
                <w:szCs w:val="20"/>
                <w:lang w:eastAsia="sv-SE"/>
              </w:rPr>
              <w: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suffered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The motivation is HD FDD operations in NB-</w:t>
            </w:r>
            <w:proofErr w:type="spellStart"/>
            <w:r>
              <w:rPr>
                <w:bCs/>
              </w:rPr>
              <w:t>IoT</w:t>
            </w:r>
            <w:proofErr w:type="spellEnd"/>
            <w:r>
              <w:rPr>
                <w:bCs/>
              </w:rPr>
              <w:t xml:space="preserve">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w:t>
            </w:r>
            <w:proofErr w:type="spellStart"/>
            <w:r w:rsidRPr="00A83784">
              <w:rPr>
                <w:bCs/>
              </w:rPr>
              <w:t>subframes</w:t>
            </w:r>
            <w:proofErr w:type="spellEnd"/>
            <w:r w:rsidRPr="00A83784">
              <w:rPr>
                <w:bCs/>
              </w:rPr>
              <w:t xml:space="preserve">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bookmarkStart w:id="5" w:name="_GoBack"/>
      <w:bookmarkEnd w:id="5"/>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af2"/>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8"/>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8"/>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2"/>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w:t>
            </w:r>
            <w:proofErr w:type="spellStart"/>
            <w:r>
              <w:rPr>
                <w:b w:val="0"/>
                <w:bCs w:val="0"/>
              </w:rPr>
              <w:t>sepcific</w:t>
            </w:r>
            <w:proofErr w:type="spellEnd"/>
            <w:r>
              <w:rPr>
                <w:b w:val="0"/>
                <w:bCs w:val="0"/>
              </w:rPr>
              <w:t>.</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w:t>
            </w:r>
            <w:proofErr w:type="spellStart"/>
            <w:r>
              <w:rPr>
                <w:b w:val="0"/>
                <w:bCs w:val="0"/>
              </w:rPr>
              <w:t>Koffset</w:t>
            </w:r>
            <w:proofErr w:type="spellEnd"/>
            <w:r>
              <w:rPr>
                <w:b w:val="0"/>
                <w:bCs w:val="0"/>
              </w:rPr>
              <w: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2"/>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2"/>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w:t>
            </w:r>
            <w:proofErr w:type="spellStart"/>
            <w:r w:rsidRPr="00630948">
              <w:rPr>
                <w:b w:val="0"/>
                <w:bCs w:val="0"/>
              </w:rPr>
              <w:t>IoT</w:t>
            </w:r>
            <w:proofErr w:type="spellEnd"/>
            <w:r w:rsidRPr="00630948">
              <w:rPr>
                <w:b w:val="0"/>
                <w:bCs w:val="0"/>
              </w:rPr>
              <w:t xml:space="preserve"> and </w:t>
            </w:r>
            <w:proofErr w:type="spellStart"/>
            <w:r w:rsidRPr="00630948">
              <w:rPr>
                <w:b w:val="0"/>
                <w:bCs w:val="0"/>
              </w:rPr>
              <w:t>eMTC</w:t>
            </w:r>
            <w:proofErr w:type="spellEnd"/>
            <w:r w:rsidRPr="00630948">
              <w:rPr>
                <w:b w:val="0"/>
                <w:bCs w:val="0"/>
              </w:rPr>
              <w:t>.</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   “</w:t>
            </w:r>
            <w:r w:rsidRPr="00FD3A89">
              <w:rPr>
                <w:b w:val="0"/>
                <w:bCs w:val="0"/>
              </w:rPr>
              <w:t xml:space="preserve">Update of </w:t>
            </w:r>
            <w:proofErr w:type="spellStart"/>
            <w:r w:rsidRPr="00FD3A89">
              <w:rPr>
                <w:b w:val="0"/>
                <w:bCs w:val="0"/>
              </w:rPr>
              <w:t>K_offset</w:t>
            </w:r>
            <w:proofErr w:type="spellEnd"/>
            <w:r w:rsidRPr="00FD3A89">
              <w:rPr>
                <w:b w:val="0"/>
                <w:bCs w:val="0"/>
              </w:rPr>
              <w:t xml:space="preserve">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w:t>
            </w:r>
            <w:proofErr w:type="spellStart"/>
            <w:r>
              <w:rPr>
                <w:b w:val="0"/>
                <w:bCs w:val="0"/>
              </w:rPr>
              <w:t>eMTC</w:t>
            </w:r>
            <w:proofErr w:type="spellEnd"/>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w:t>
      </w:r>
      <w:proofErr w:type="spellStart"/>
      <w:r>
        <w:rPr>
          <w:rFonts w:eastAsia="宋体" w:hint="eastAsia"/>
          <w:lang w:eastAsia="zh-CN"/>
        </w:rPr>
        <w:t>gNB</w:t>
      </w:r>
      <w:proofErr w:type="spellEnd"/>
      <w:r>
        <w:rPr>
          <w:rFonts w:eastAsia="宋体" w:hint="eastAsia"/>
          <w:lang w:eastAsia="zh-CN"/>
        </w:rPr>
        <w:t xml:space="preserve">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8"/>
        <w:rPr>
          <w:rFonts w:eastAsia="宋体"/>
          <w:lang w:eastAsia="zh-CN"/>
        </w:rPr>
      </w:pPr>
    </w:p>
    <w:p w14:paraId="68C7A4B6" w14:textId="77777777"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lastRenderedPageBreak/>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lastRenderedPageBreak/>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w:t>
            </w:r>
            <w:proofErr w:type="spellStart"/>
            <w:r>
              <w:rPr>
                <w:bCs/>
                <w:lang w:eastAsia="zh-CN"/>
              </w:rPr>
              <w:t>IoT</w:t>
            </w:r>
            <w:proofErr w:type="spellEnd"/>
            <w:r>
              <w:rPr>
                <w:bCs/>
                <w:lang w:eastAsia="zh-CN"/>
              </w:rPr>
              <w: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lastRenderedPageBreak/>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8"/>
        <w:rPr>
          <w:rFonts w:eastAsia="宋体"/>
          <w:bCs/>
          <w:color w:val="4F81BD" w:themeColor="accent1"/>
          <w:lang w:eastAsia="zh-CN"/>
        </w:rPr>
      </w:pPr>
    </w:p>
    <w:p w14:paraId="7824F64A" w14:textId="77777777"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8"/>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8"/>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8"/>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Observation 1: For half-duplex UEs (including NB-</w:t>
            </w:r>
            <w:proofErr w:type="spellStart"/>
            <w:r>
              <w:t>IoT</w:t>
            </w:r>
            <w:proofErr w:type="spellEnd"/>
            <w:r>
              <w:t xml:space="preserve">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8"/>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w:t>
            </w:r>
            <w:proofErr w:type="spellStart"/>
            <w:r>
              <w:t>IoT</w:t>
            </w:r>
            <w:proofErr w:type="spellEnd"/>
            <w:r>
              <w:t xml:space="preserve">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w:t>
            </w:r>
            <w:proofErr w:type="spellStart"/>
            <w:r w:rsidRPr="00605D53">
              <w:t>IoT</w:t>
            </w:r>
            <w:proofErr w:type="spellEnd"/>
            <w:r w:rsidRPr="00605D53">
              <w:t xml:space="preserve">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2"/>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6" w:name="_Hlk62480438"/>
      <w:r>
        <w:t>PDCCH monitoring timing after PRACH</w:t>
      </w:r>
      <w:bookmarkEnd w:id="6"/>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w:t>
      </w:r>
      <w:proofErr w:type="spellStart"/>
      <w:r>
        <w:rPr>
          <w:rFonts w:eastAsia="宋体"/>
          <w:color w:val="0070C0"/>
          <w:lang w:eastAsia="zh-CN"/>
        </w:rPr>
        <w:t>ra-ResponseWindow</w:t>
      </w:r>
      <w:proofErr w:type="spellEnd"/>
      <w:r>
        <w:rPr>
          <w:rFonts w:eastAsia="宋体"/>
          <w:color w:val="0070C0"/>
          <w:lang w:eastAsia="zh-CN"/>
        </w:rPr>
        <w:t xml:space="preserve"> in </w:t>
      </w:r>
      <w:proofErr w:type="spellStart"/>
      <w:r>
        <w:rPr>
          <w:rFonts w:eastAsia="宋体"/>
          <w:color w:val="0070C0"/>
          <w:lang w:eastAsia="zh-CN"/>
        </w:rPr>
        <w:t>IoT</w:t>
      </w:r>
      <w:proofErr w:type="spellEnd"/>
      <w:r>
        <w:rPr>
          <w:rFonts w:eastAsia="宋体"/>
          <w:color w:val="0070C0"/>
          <w:lang w:eastAsia="zh-CN"/>
        </w:rPr>
        <w:t xml:space="preserve">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 xml:space="preserve">The issue of </w:t>
      </w:r>
      <w:proofErr w:type="spellStart"/>
      <w:r>
        <w:rPr>
          <w:rFonts w:eastAsia="宋体"/>
          <w:b/>
          <w:bCs/>
          <w:color w:val="0070C0"/>
          <w:lang w:eastAsia="zh-CN"/>
        </w:rPr>
        <w:t>ra-ResponseWindow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w:t>
      </w:r>
      <w:proofErr w:type="spellStart"/>
      <w:r>
        <w:rPr>
          <w:bCs/>
          <w:iCs/>
          <w:lang w:eastAsia="zh-CN"/>
        </w:rPr>
        <w:t>ra-ResponseWindow</w:t>
      </w:r>
      <w:proofErr w:type="spellEnd"/>
      <w:r>
        <w:rPr>
          <w:bCs/>
          <w:iCs/>
          <w:lang w:eastAsia="zh-CN"/>
        </w:rPr>
        <w:t xml:space="preserve"> in </w:t>
      </w:r>
      <w:proofErr w:type="spellStart"/>
      <w:r>
        <w:rPr>
          <w:bCs/>
          <w:iCs/>
          <w:lang w:eastAsia="zh-CN"/>
        </w:rPr>
        <w:t>IoT</w:t>
      </w:r>
      <w:proofErr w:type="spellEnd"/>
      <w:r>
        <w:rPr>
          <w:bCs/>
          <w:iCs/>
          <w:lang w:eastAsia="zh-CN"/>
        </w:rPr>
        <w:t xml:space="preserve">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t xml:space="preserve">Proposal 2: If an offset used to adjust the start of </w:t>
      </w:r>
      <w:proofErr w:type="spellStart"/>
      <w:r>
        <w:rPr>
          <w:b w:val="0"/>
          <w:bCs w:val="0"/>
          <w:lang w:eastAsia="zh-TW"/>
        </w:rPr>
        <w:t>ra-ResponseWindow</w:t>
      </w:r>
      <w:proofErr w:type="spellEnd"/>
      <w:r>
        <w:rPr>
          <w:b w:val="0"/>
          <w:bCs w:val="0"/>
          <w:lang w:eastAsia="zh-TW"/>
        </w:rPr>
        <w:t xml:space="preserve">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lastRenderedPageBreak/>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lastRenderedPageBreak/>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 xml:space="preserve">From RAN2 perspective, an offset is applied to the start of </w:t>
            </w:r>
            <w:proofErr w:type="spellStart"/>
            <w:r w:rsidRPr="00A83784">
              <w:t>ra-ResponseWindow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 xml:space="preserve">start of </w:t>
            </w:r>
            <w:proofErr w:type="spellStart"/>
            <w:r w:rsidRPr="00A83784">
              <w:t>ra-ResponseWindow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w:t>
            </w:r>
            <w:proofErr w:type="spellStart"/>
            <w:r>
              <w:t>IoT</w:t>
            </w:r>
            <w:proofErr w:type="spellEnd"/>
            <w:r>
              <w:t xml:space="preserve">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2"/>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Proposals like “going to sleep mode before RAR window”, etc., </w:t>
            </w:r>
            <w:r>
              <w:rPr>
                <w:b w:val="0"/>
                <w:bCs w:val="0"/>
              </w:rPr>
              <w:lastRenderedPageBreak/>
              <w:t>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w:t>
            </w:r>
            <w:proofErr w:type="gramStart"/>
            <w:r>
              <w:rPr>
                <w:b w:val="0"/>
                <w:bCs w:val="0"/>
              </w:rPr>
              <w:t>enable  UL</w:t>
            </w:r>
            <w:proofErr w:type="gramEnd"/>
            <w:r>
              <w:rPr>
                <w:b w:val="0"/>
                <w:bCs w:val="0"/>
              </w:rPr>
              <w:t xml:space="preserve">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Power consumption is a key KPI for NB-</w:t>
            </w:r>
            <w:proofErr w:type="spellStart"/>
            <w:r>
              <w:rPr>
                <w:b w:val="0"/>
                <w:bCs w:val="0"/>
              </w:rPr>
              <w:t>IoT</w:t>
            </w:r>
            <w:proofErr w:type="spellEnd"/>
            <w:r>
              <w:rPr>
                <w:b w:val="0"/>
                <w:bCs w:val="0"/>
              </w:rPr>
              <w:t xml:space="preserve"> and </w:t>
            </w:r>
            <w:proofErr w:type="spellStart"/>
            <w:r>
              <w:rPr>
                <w:b w:val="0"/>
                <w:bCs w:val="0"/>
              </w:rPr>
              <w:t>eMTC</w:t>
            </w:r>
            <w:proofErr w:type="spellEnd"/>
            <w:r>
              <w:rPr>
                <w:b w:val="0"/>
                <w:bCs w:val="0"/>
              </w:rPr>
              <w:t xml:space="preserve">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t xml:space="preserve">We think that it </w:t>
            </w:r>
            <w:r w:rsidRPr="00BE18CA">
              <w:rPr>
                <w:b w:val="0"/>
                <w:bCs w:val="0"/>
              </w:rPr>
              <w:t>can be discussed in dedicated agenda.</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w:t>
      </w:r>
      <w:proofErr w:type="gramStart"/>
      <w:r w:rsidR="007E3DEC" w:rsidRPr="007E3DEC">
        <w:rPr>
          <w:rFonts w:eastAsia="宋体"/>
          <w:b/>
          <w:bCs/>
          <w:u w:val="single"/>
          <w:lang w:eastAsia="zh-CN"/>
        </w:rPr>
        <w:t xml:space="preserve">6.1 </w:t>
      </w:r>
      <w:r w:rsidRPr="007E3DEC">
        <w:rPr>
          <w:rFonts w:eastAsia="宋体"/>
          <w:b/>
          <w:bCs/>
          <w:u w:val="single"/>
          <w:lang w:eastAsia="zh-CN"/>
        </w:rPr>
        <w:t>:</w:t>
      </w:r>
      <w:proofErr w:type="gramEnd"/>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w:t>
      </w:r>
      <w:proofErr w:type="spellStart"/>
      <w:r>
        <w:rPr>
          <w:rFonts w:eastAsia="宋体"/>
          <w:color w:val="0070C0"/>
          <w:lang w:eastAsia="zh-CN"/>
        </w:rPr>
        <w:t>IoT</w:t>
      </w:r>
      <w:proofErr w:type="spellEnd"/>
      <w:r>
        <w:rPr>
          <w:rFonts w:eastAsia="宋体"/>
          <w:color w:val="0070C0"/>
          <w:lang w:eastAsia="zh-CN"/>
        </w:rPr>
        <w:t xml:space="preserve"> / </w:t>
      </w:r>
      <w:proofErr w:type="spellStart"/>
      <w:r>
        <w:rPr>
          <w:rFonts w:eastAsia="宋体"/>
          <w:color w:val="0070C0"/>
          <w:lang w:eastAsia="zh-CN"/>
        </w:rPr>
        <w:t>eMTC</w:t>
      </w:r>
      <w:proofErr w:type="spellEnd"/>
      <w:r>
        <w:rPr>
          <w:rFonts w:eastAsia="宋体"/>
          <w:color w:val="0070C0"/>
          <w:lang w:eastAsia="zh-CN"/>
        </w:rPr>
        <w:t xml:space="preserve">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w:t>
      </w:r>
      <w:proofErr w:type="spellStart"/>
      <w:r>
        <w:rPr>
          <w:rFonts w:eastAsia="宋体"/>
          <w:color w:val="0070C0"/>
          <w:lang w:eastAsia="zh-CN"/>
        </w:rPr>
        <w:t>IoT</w:t>
      </w:r>
      <w:proofErr w:type="spellEnd"/>
      <w:r>
        <w:rPr>
          <w:rFonts w:eastAsia="宋体"/>
          <w:color w:val="0070C0"/>
          <w:lang w:eastAsia="zh-CN"/>
        </w:rPr>
        <w:t xml:space="preserve"> / </w:t>
      </w:r>
      <w:proofErr w:type="spellStart"/>
      <w:r>
        <w:rPr>
          <w:rFonts w:eastAsia="宋体"/>
          <w:color w:val="0070C0"/>
          <w:lang w:eastAsia="zh-CN"/>
        </w:rPr>
        <w:t>eMTC</w:t>
      </w:r>
      <w:proofErr w:type="spellEnd"/>
      <w:r>
        <w:rPr>
          <w:rFonts w:eastAsia="宋体"/>
          <w:color w:val="0070C0"/>
          <w:lang w:eastAsia="zh-CN"/>
        </w:rPr>
        <w:t xml:space="preserve">,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NB-</w:t>
      </w:r>
      <w:proofErr w:type="spellStart"/>
      <w:r>
        <w:rPr>
          <w:bCs/>
        </w:rPr>
        <w:t>IoT</w:t>
      </w:r>
      <w:proofErr w:type="spellEnd"/>
      <w:r>
        <w:rPr>
          <w:bCs/>
        </w:rPr>
        <w:t xml:space="preserve">.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8"/>
        <w:rPr>
          <w:rFonts w:eastAsia="宋体"/>
          <w:bCs/>
          <w:lang w:eastAsia="zh-CN"/>
        </w:rPr>
      </w:pPr>
      <w:r>
        <w:rPr>
          <w:rFonts w:eastAsia="宋体"/>
          <w:bCs/>
          <w:lang w:eastAsia="zh-CN"/>
        </w:rPr>
        <w:t xml:space="preserve">Proposal 4: the </w:t>
      </w:r>
      <w:proofErr w:type="spellStart"/>
      <w:r>
        <w:rPr>
          <w:rFonts w:eastAsia="宋体"/>
          <w:bCs/>
          <w:lang w:eastAsia="zh-CN"/>
        </w:rPr>
        <w:t>gNB</w:t>
      </w:r>
      <w:proofErr w:type="spellEnd"/>
      <w:r>
        <w:rPr>
          <w:rFonts w:eastAsia="宋体"/>
          <w:bCs/>
          <w:lang w:eastAsia="zh-CN"/>
        </w:rPr>
        <w:t xml:space="preserve">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8"/>
        <w:rPr>
          <w:bCs/>
          <w:iCs/>
        </w:rPr>
      </w:pPr>
      <w:r>
        <w:rPr>
          <w:bCs/>
          <w:iCs/>
        </w:rPr>
        <w:t>Observation 2: For half-duplex UEs (including NB-</w:t>
      </w:r>
      <w:proofErr w:type="spellStart"/>
      <w:r>
        <w:rPr>
          <w:bCs/>
          <w:iCs/>
        </w:rPr>
        <w:t>IoT</w:t>
      </w:r>
      <w:proofErr w:type="spellEnd"/>
      <w:r>
        <w:rPr>
          <w:bCs/>
          <w:iCs/>
        </w:rPr>
        <w:t xml:space="preserve">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a8"/>
        <w:rPr>
          <w:bCs/>
          <w:iCs/>
        </w:rPr>
      </w:pPr>
      <w:r>
        <w:rPr>
          <w:bCs/>
          <w:iCs/>
        </w:rPr>
        <w:t>Observation 3: For half-duplex UEs (including NB-</w:t>
      </w:r>
      <w:proofErr w:type="spellStart"/>
      <w:r>
        <w:rPr>
          <w:bCs/>
          <w:iCs/>
        </w:rPr>
        <w:t>IoT</w:t>
      </w:r>
      <w:proofErr w:type="spellEnd"/>
      <w:r>
        <w:rPr>
          <w:bCs/>
          <w:iCs/>
        </w:rPr>
        <w:t xml:space="preserve">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a8"/>
        <w:rPr>
          <w:bCs/>
          <w:iCs/>
        </w:rPr>
      </w:pPr>
      <w:r>
        <w:rPr>
          <w:bCs/>
          <w:iCs/>
        </w:rPr>
        <w:t>Observation 4: For connected half-duplex UEs (including NB-</w:t>
      </w:r>
      <w:proofErr w:type="spellStart"/>
      <w:r>
        <w:rPr>
          <w:bCs/>
          <w:iCs/>
        </w:rPr>
        <w:t>IoT</w:t>
      </w:r>
      <w:proofErr w:type="spellEnd"/>
      <w:r>
        <w:rPr>
          <w:bCs/>
          <w:iCs/>
        </w:rPr>
        <w:t xml:space="preserve">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8"/>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a8"/>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8"/>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w:t>
      </w:r>
      <w:proofErr w:type="spellStart"/>
      <w:r>
        <w:rPr>
          <w:rFonts w:ascii="Times New Roman" w:hAnsi="Times New Roman" w:cs="Times New Roman"/>
          <w:b w:val="0"/>
          <w:bCs w:val="0"/>
          <w:sz w:val="22"/>
        </w:rPr>
        <w:t>IoT</w:t>
      </w:r>
      <w:proofErr w:type="spellEnd"/>
      <w:r>
        <w:rPr>
          <w:rFonts w:ascii="Times New Roman" w:hAnsi="Times New Roman" w:cs="Times New Roman"/>
          <w:b w:val="0"/>
          <w:bCs w:val="0"/>
          <w:sz w:val="22"/>
        </w:rPr>
        <w:t xml:space="preserve"> take into account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w:t>
      </w:r>
      <w:proofErr w:type="spellStart"/>
      <w:r>
        <w:rPr>
          <w:b w:val="0"/>
          <w:bCs w:val="0"/>
          <w:sz w:val="22"/>
        </w:rPr>
        <w:t>IoT</w:t>
      </w:r>
      <w:proofErr w:type="spellEnd"/>
      <w:r>
        <w:rPr>
          <w:b w:val="0"/>
          <w:bCs w:val="0"/>
          <w:sz w:val="22"/>
        </w:rPr>
        <w:t xml:space="preserve">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We are fine with Ericsson suggestion to further discuss the TA understanding with long RTT. The TA is used in cellular NB-</w:t>
            </w:r>
            <w:proofErr w:type="spellStart"/>
            <w:r w:rsidRPr="000E7D05">
              <w:rPr>
                <w:bCs/>
                <w:lang w:eastAsia="zh-CN"/>
              </w:rPr>
              <w:t>IoT</w:t>
            </w:r>
            <w:proofErr w:type="spellEnd"/>
            <w:r w:rsidRPr="000E7D05">
              <w:rPr>
                <w:bCs/>
                <w:lang w:eastAsia="zh-CN"/>
              </w:rPr>
              <w:t xml:space="preserve">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Koffset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w:t>
      </w:r>
      <w:proofErr w:type="spellStart"/>
      <w:r>
        <w:rPr>
          <w:lang w:eastAsia="zh-CN"/>
        </w:rPr>
        <w:t>subframes</w:t>
      </w:r>
      <w:proofErr w:type="spellEnd"/>
      <w:r>
        <w:rPr>
          <w:lang w:eastAsia="zh-CN"/>
        </w:rPr>
        <w:t xml:space="preserve">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 xml:space="preserve">Study timing relationship issues arising </w:t>
      </w:r>
      <w:proofErr w:type="spellStart"/>
      <w:r w:rsidR="00F178D3">
        <w:rPr>
          <w:rFonts w:eastAsia="宋体"/>
          <w:bCs/>
          <w:highlight w:val="yellow"/>
          <w:lang w:eastAsia="zh-CN"/>
        </w:rPr>
        <w:t>form</w:t>
      </w:r>
      <w:proofErr w:type="spellEnd"/>
      <w:r w:rsidR="00F178D3">
        <w:rPr>
          <w:rFonts w:eastAsia="宋体"/>
          <w:bCs/>
          <w:highlight w:val="yellow"/>
          <w:lang w:eastAsia="zh-CN"/>
        </w:rPr>
        <w:t xml:space="preserve">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lastRenderedPageBreak/>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8"/>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8"/>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8"/>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8"/>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8"/>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14:paraId="5FBDE09B" w14:textId="77777777" w:rsidR="00DA195F" w:rsidRPr="00CA72B4" w:rsidRDefault="00513E5F">
      <w:pPr>
        <w:pStyle w:val="a8"/>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8"/>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8"/>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8"/>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8"/>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8"/>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w:t>
      </w:r>
      <w:proofErr w:type="spellStart"/>
      <w:r>
        <w:rPr>
          <w:rFonts w:eastAsia="宋体"/>
          <w:color w:val="0070C0"/>
        </w:rPr>
        <w:t>IoT</w:t>
      </w:r>
      <w:proofErr w:type="spellEnd"/>
      <w:r>
        <w:rPr>
          <w:rFonts w:eastAsia="宋体"/>
          <w:color w:val="0070C0"/>
        </w:rPr>
        <w:t xml:space="preserve">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8"/>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8"/>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8"/>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8"/>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w:t>
            </w:r>
            <w:proofErr w:type="spellStart"/>
            <w:r>
              <w:rPr>
                <w:lang w:eastAsia="zh-CN"/>
              </w:rPr>
              <w:t>IoT</w:t>
            </w:r>
            <w:proofErr w:type="spellEnd"/>
            <w:r>
              <w:rPr>
                <w:lang w:eastAsia="zh-CN"/>
              </w:rPr>
              <w:t>-NTN study item.</w:t>
            </w:r>
          </w:p>
        </w:tc>
      </w:tr>
    </w:tbl>
    <w:p w14:paraId="2B46E4B5" w14:textId="77777777" w:rsidR="00435A58" w:rsidRPr="00435A58" w:rsidRDefault="00435A58">
      <w:pPr>
        <w:pStyle w:val="a8"/>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5 respondents out of 6 advocate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8"/>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8"/>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 xml:space="preserve">Terrestrial </w:t>
      </w:r>
      <w:proofErr w:type="spellStart"/>
      <w:r>
        <w:t>eMTC</w:t>
      </w:r>
      <w:proofErr w:type="spellEnd"/>
      <w:r>
        <w:t xml:space="preserve"> / NB-</w:t>
      </w:r>
      <w:proofErr w:type="spellStart"/>
      <w:r>
        <w:t>IoT</w:t>
      </w:r>
      <w:proofErr w:type="spellEnd"/>
      <w:r>
        <w:t xml:space="preserve">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Legacy timing relationships for NB-</w:t>
      </w:r>
      <w:proofErr w:type="spellStart"/>
      <w:r>
        <w:rPr>
          <w:rFonts w:eastAsia="宋体"/>
          <w:lang w:eastAsia="zh-CN"/>
        </w:rPr>
        <w:t>IoT</w:t>
      </w:r>
      <w:proofErr w:type="spellEnd"/>
      <w:r>
        <w:rPr>
          <w:rFonts w:eastAsia="宋体"/>
          <w:lang w:eastAsia="zh-CN"/>
        </w:rPr>
        <w:t xml:space="preserve"> and </w:t>
      </w:r>
      <w:proofErr w:type="spellStart"/>
      <w:r>
        <w:rPr>
          <w:rFonts w:eastAsia="宋体"/>
          <w:lang w:eastAsia="zh-CN"/>
        </w:rPr>
        <w:t>eMTC</w:t>
      </w:r>
      <w:proofErr w:type="spellEnd"/>
      <w:r>
        <w:rPr>
          <w:rFonts w:eastAsia="宋体"/>
          <w:lang w:eastAsia="zh-CN"/>
        </w:rPr>
        <w:t xml:space="preserve">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proofErr w:type="spellStart"/>
      <w:r>
        <w:t>eMTC</w:t>
      </w:r>
      <w:proofErr w:type="spellEnd"/>
    </w:p>
    <w:tbl>
      <w:tblPr>
        <w:tblStyle w:val="af2"/>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2"/>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AC4761">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AC4761">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AC4761">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AC4761">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AC4761">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AC4761">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AC4761">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AC4761">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AC4761">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AC4761">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AC4761">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AC4761">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AC4761">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AC4761">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AC4761">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AC4761">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AC4761">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AC4761">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AC4761">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w:t>
      </w:r>
      <w:proofErr w:type="spellStart"/>
      <w:r>
        <w:rPr>
          <w:rFonts w:ascii="Times New Roman" w:hAnsi="Times New Roman" w:cs="Times New Roman"/>
        </w:rPr>
        <w:t>IoT</w:t>
      </w:r>
      <w:proofErr w:type="spellEnd"/>
      <w:r>
        <w:rPr>
          <w:rFonts w:ascii="Times New Roman" w:hAnsi="Times New Roman" w:cs="Times New Roman"/>
        </w:rPr>
        <w:t xml:space="preserve">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40782" w14:textId="77777777" w:rsidR="00513763" w:rsidRDefault="00513763">
      <w:pPr>
        <w:spacing w:after="0"/>
      </w:pPr>
      <w:r>
        <w:separator/>
      </w:r>
    </w:p>
  </w:endnote>
  <w:endnote w:type="continuationSeparator" w:id="0">
    <w:p w14:paraId="3D218CFF" w14:textId="77777777" w:rsidR="00513763" w:rsidRDefault="00513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C8C2" w14:textId="77777777" w:rsidR="00AC4761" w:rsidRDefault="00AC47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Content>
      <w:p w14:paraId="28A1049C" w14:textId="50E84B0A" w:rsidR="00AC4761" w:rsidRDefault="00AC4761">
        <w:pPr>
          <w:pStyle w:val="ab"/>
        </w:pPr>
        <w:r>
          <w:fldChar w:fldCharType="begin"/>
        </w:r>
        <w:r>
          <w:instrText xml:space="preserve"> PAGE   \* MERGEFORMAT </w:instrText>
        </w:r>
        <w:r>
          <w:fldChar w:fldCharType="separate"/>
        </w:r>
        <w:r w:rsidR="00116C33">
          <w:rPr>
            <w:noProof/>
          </w:rPr>
          <w:t>29</w:t>
        </w:r>
        <w:r>
          <w:fldChar w:fldCharType="end"/>
        </w:r>
      </w:p>
    </w:sdtContent>
  </w:sdt>
  <w:p w14:paraId="443A8B72" w14:textId="77777777" w:rsidR="00AC4761" w:rsidRDefault="00AC476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1427" w14:textId="77777777" w:rsidR="00AC4761" w:rsidRDefault="00AC47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09A69" w14:textId="77777777" w:rsidR="00513763" w:rsidRDefault="00513763">
      <w:pPr>
        <w:spacing w:after="0"/>
      </w:pPr>
      <w:r>
        <w:separator/>
      </w:r>
    </w:p>
  </w:footnote>
  <w:footnote w:type="continuationSeparator" w:id="0">
    <w:p w14:paraId="667AC67F" w14:textId="77777777" w:rsidR="00513763" w:rsidRDefault="005137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2B4C" w14:textId="77777777" w:rsidR="00AC4761" w:rsidRDefault="00AC476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CAD7" w14:textId="77777777" w:rsidR="00AC4761" w:rsidRDefault="00AC476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07E7" w14:textId="77777777" w:rsidR="00AC4761" w:rsidRDefault="00AC476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9B5252-3673-42EA-89CB-B593365A1FB5}">
  <ds:schemaRefs>
    <ds:schemaRef ds:uri="http://schemas.openxmlformats.org/officeDocument/2006/bibliography"/>
  </ds:schemaRefs>
</ds:datastoreItem>
</file>

<file path=customXml/itemProps6.xml><?xml version="1.0" encoding="utf-8"?>
<ds:datastoreItem xmlns:ds="http://schemas.openxmlformats.org/officeDocument/2006/customXml" ds:itemID="{EF559675-4E7B-4405-875A-989700A2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13357</Words>
  <Characters>76138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Lei, Reven (雷珍珠)</cp:lastModifiedBy>
  <cp:revision>7</cp:revision>
  <cp:lastPrinted>2016-05-14T13:14:00Z</cp:lastPrinted>
  <dcterms:created xsi:type="dcterms:W3CDTF">2021-02-01T20:59:00Z</dcterms:created>
  <dcterms:modified xsi:type="dcterms:W3CDTF">2021-02-02T01:38:00Z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