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1273" w14:textId="77777777" w:rsidR="00DA195F" w:rsidRDefault="00513E5F">
      <w:pPr>
        <w:pStyle w:val="ac"/>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c"/>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1"/>
        <w:numPr>
          <w:ilvl w:val="0"/>
          <w:numId w:val="0"/>
        </w:numPr>
        <w:spacing w:before="80" w:after="80"/>
        <w:ind w:left="431"/>
        <w:rPr>
          <w:sz w:val="24"/>
          <w:lang w:eastAsia="zh-CN"/>
        </w:rPr>
      </w:pPr>
      <w:bookmarkStart w:id="0" w:name="_Ref54129494"/>
    </w:p>
    <w:p w14:paraId="4D6206D1" w14:textId="49AB8C82" w:rsidR="00DA195F" w:rsidRDefault="00513E5F">
      <w:pPr>
        <w:pStyle w:val="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2"/>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8"/>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65E0F73A" w:rsidR="00DA195F" w:rsidRDefault="00513E5F" w:rsidP="00E81BED">
      <w:pPr>
        <w:pStyle w:val="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MTK-Eutelsat, Intel, Len-MM, Spreadtrum, SONY, Xioami, Samsung, Apple</w:t>
      </w:r>
    </w:p>
    <w:p w14:paraId="03904597"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8"/>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8"/>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af2"/>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8"/>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8"/>
              <w:rPr>
                <w:bCs/>
                <w:iCs/>
              </w:rPr>
            </w:pPr>
            <w:r>
              <w:rPr>
                <w:bCs/>
                <w:iCs/>
              </w:rPr>
              <w:t xml:space="preserve">Proposal 1: Introduce K_offset to enhance the following timing relationships for NB-IoT NTN is beneficial: </w:t>
            </w:r>
          </w:p>
          <w:p w14:paraId="5C9B2B96" w14:textId="77777777" w:rsidR="00DA195F" w:rsidRDefault="00513E5F">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8"/>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8"/>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8"/>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af8"/>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8"/>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8"/>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8"/>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8"/>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a8"/>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8"/>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8"/>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2"/>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a8"/>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a8"/>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or </w:t>
            </w:r>
            <w:r>
              <w:rPr>
                <w:b w:val="0"/>
                <w:bCs w:val="0"/>
                <w:lang w:eastAsia="zh-TW"/>
              </w:rPr>
              <w:lastRenderedPageBreak/>
              <w:t>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w:t>
            </w:r>
            <w:r>
              <w:rPr>
                <w:b w:val="0"/>
                <w:bCs w:val="0"/>
                <w:lang w:eastAsia="zh-TW"/>
              </w:rPr>
              <w:lastRenderedPageBreak/>
              <w:t>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eNB with respect to a given UE. The TA reflects the RTT between the particular UE and the eNB.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dilemma of having to transmit an NPUSCH scheduled by an NPDCCH DCI that it has not yet received. The Koffset </w:t>
      </w:r>
      <w:r>
        <w:rPr>
          <w:b w:val="0"/>
          <w:bCs w:val="0"/>
          <w:lang w:eastAsia="zh-TW"/>
        </w:rPr>
        <w:lastRenderedPageBreak/>
        <w:t xml:space="preserve">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a3"/>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af2"/>
        <w:tblW w:w="0" w:type="auto"/>
        <w:jc w:val="center"/>
        <w:tblLook w:val="04A0" w:firstRow="1" w:lastRow="0" w:firstColumn="1" w:lastColumn="0" w:noHBand="0" w:noVBand="1"/>
      </w:tblPr>
      <w:tblGrid>
        <w:gridCol w:w="4972"/>
        <w:gridCol w:w="2059"/>
        <w:gridCol w:w="250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(ms)</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(ms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a3"/>
        <w:keepNext/>
      </w:pPr>
      <w:r w:rsidRPr="00807D95">
        <w:t xml:space="preserve">Table </w:t>
      </w:r>
      <w:fldSimple w:instr=" SEQ Table \* ARABIC ">
        <w:r>
          <w:rPr>
            <w:noProof/>
          </w:rPr>
          <w:t>2</w:t>
        </w:r>
      </w:fldSimple>
      <w:r w:rsidRPr="00807D95">
        <w:t>: eMTC timing relationship offsets</w:t>
      </w:r>
    </w:p>
    <w:tbl>
      <w:tblPr>
        <w:tblStyle w:val="af2"/>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(ms)</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CEmodeA,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a3"/>
        <w:keepNext/>
      </w:pPr>
      <w:r w:rsidRPr="00802CB2">
        <w:lastRenderedPageBreak/>
        <w:t xml:space="preserve">Table </w:t>
      </w:r>
      <w:fldSimple w:instr=" SEQ Table \* ARABIC ">
        <w:r w:rsidRPr="00802CB2">
          <w:rPr>
            <w:noProof/>
          </w:rPr>
          <w:t>3</w:t>
        </w:r>
      </w:fldSimple>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753"/>
        <w:gridCol w:w="3627"/>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Scenario A: 541.46 ms (service and feeder links)</w:t>
            </w:r>
          </w:p>
          <w:p w14:paraId="7A2E2F67" w14:textId="77777777" w:rsidR="00E81BED" w:rsidRPr="00450CE8" w:rsidRDefault="00E81BED" w:rsidP="00E81BED">
            <w:pPr>
              <w:pStyle w:val="TAL"/>
              <w:rPr>
                <w:rFonts w:eastAsia="Calibri"/>
              </w:rPr>
            </w:pPr>
            <w:r w:rsidRPr="00450CE8">
              <w:rPr>
                <w:rFonts w:eastAsia="Calibri"/>
              </w:rPr>
              <w:t>Scenario B: 270.73 ms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25.77 ms (600km)</w:t>
            </w:r>
          </w:p>
          <w:p w14:paraId="75889666" w14:textId="77777777" w:rsidR="00E81BED" w:rsidRPr="00450CE8" w:rsidRDefault="00E81BED" w:rsidP="00E81BED">
            <w:pPr>
              <w:pStyle w:val="TAL"/>
              <w:rPr>
                <w:rFonts w:eastAsia="Calibri"/>
              </w:rPr>
            </w:pPr>
            <w:r w:rsidRPr="00450CE8">
              <w:rPr>
                <w:rFonts w:eastAsia="Calibri"/>
              </w:rPr>
              <w:t>41.77 ms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12.89 ms (600km)</w:t>
            </w:r>
          </w:p>
          <w:p w14:paraId="42DCBD6E" w14:textId="77777777" w:rsidR="00E81BED" w:rsidRPr="00450CE8" w:rsidRDefault="00E81BED" w:rsidP="00E81BED">
            <w:pPr>
              <w:pStyle w:val="TAL"/>
            </w:pPr>
            <w:r w:rsidRPr="00450CE8">
              <w:rPr>
                <w:rFonts w:eastAsia="Calibri"/>
              </w:rPr>
              <w:t>20.89 ms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summarise</w:t>
      </w:r>
      <w:r w:rsidR="005A00D3">
        <w:rPr>
          <w:b w:val="0"/>
          <w:bCs w:val="0"/>
          <w:lang w:eastAsia="zh-TW"/>
        </w:rPr>
        <w:t>s</w:t>
      </w:r>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af2"/>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374842">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374842">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w:t>
            </w:r>
            <w:r w:rsidRPr="003E17AA">
              <w:rPr>
                <w:highlight w:val="yellow"/>
              </w:rPr>
              <w:lastRenderedPageBreak/>
              <w:t>studied</w:t>
            </w:r>
            <w:r w:rsidRPr="00B5516A">
              <w:rPr>
                <w:strike/>
                <w:color w:val="FF0000"/>
                <w:highlight w:val="yellow"/>
              </w:rPr>
              <w:t xml:space="preserve"> individually for enhancement</w:t>
            </w: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宋体"/>
          <w:highlight w:val="yellow"/>
        </w:rPr>
      </w:pPr>
      <w:r w:rsidRPr="003E17AA">
        <w:rPr>
          <w:rFonts w:eastAsia="宋体"/>
          <w:highlight w:val="yellow"/>
        </w:rPr>
        <w:t xml:space="preserve">For eMTC,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af8"/>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af8"/>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af8"/>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FSS: Other eMTC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af2"/>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374842">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374842">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8"/>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8"/>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121DD8AD" w:rsidR="00DA195F" w:rsidRDefault="00513E5F" w:rsidP="00E81BED">
      <w:pPr>
        <w:pStyle w:val="4"/>
      </w:pPr>
      <w:r>
        <w:t>Cell specific vrs beam specific Koffset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4"/>
      </w:pPr>
      <w:r>
        <w:t>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4"/>
      </w:pPr>
      <w:r>
        <w:t>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2"/>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宋体"/>
                <w:b/>
                <w:bCs/>
                <w:u w:val="single"/>
                <w:lang w:eastAsia="zh-CN"/>
              </w:rPr>
            </w:pPr>
            <w:r>
              <w:rPr>
                <w:rFonts w:eastAsia="宋体"/>
                <w:b/>
                <w:bCs/>
                <w:u w:val="single"/>
                <w:lang w:eastAsia="zh-CN"/>
              </w:rPr>
              <w:t>Tdoc#</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8"/>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8"/>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2"/>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K_offset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2"/>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2"/>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af2"/>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beam-sepcific.</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af8"/>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af8"/>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af2"/>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af2"/>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lastRenderedPageBreak/>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af2"/>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The NR NTN work item has agreed that an offset, K_mac, to the MAC CE in PDSCH is needed for the case that:</w:t>
      </w:r>
    </w:p>
    <w:p w14:paraId="4B5637DE" w14:textId="77777777" w:rsidR="00DA195F" w:rsidRDefault="00513E5F">
      <w:pPr>
        <w:pStyle w:val="af8"/>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DL and UL frame timing are not aligned at the eNB</w:t>
      </w:r>
    </w:p>
    <w:p w14:paraId="45AA2BEB" w14:textId="77777777" w:rsidR="00DA195F" w:rsidRDefault="00513E5F">
      <w:pPr>
        <w:pStyle w:val="af8"/>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8"/>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8"/>
        <w:rPr>
          <w:rFonts w:eastAsia="宋体"/>
          <w:lang w:eastAsia="zh-CN"/>
        </w:rPr>
      </w:pPr>
    </w:p>
    <w:p w14:paraId="68C7A4B6" w14:textId="77777777" w:rsidR="00DA195F" w:rsidRDefault="00513E5F">
      <w:pPr>
        <w:pStyle w:val="a8"/>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8"/>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2"/>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2"/>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af2"/>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bl>
    <w:p w14:paraId="1553D6CD" w14:textId="150F295E"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8"/>
        <w:rPr>
          <w:rFonts w:eastAsia="宋体"/>
          <w:bCs/>
          <w:color w:val="4F81BD" w:themeColor="accent1"/>
          <w:lang w:eastAsia="zh-CN"/>
        </w:rPr>
      </w:pPr>
    </w:p>
    <w:p w14:paraId="7824F64A" w14:textId="77777777" w:rsidR="00DA195F" w:rsidRDefault="00513E5F">
      <w:pPr>
        <w:pStyle w:val="a8"/>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8"/>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8"/>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8"/>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8"/>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a8"/>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8"/>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8"/>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8"/>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2"/>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r>
              <w:rPr>
                <w:rFonts w:eastAsia="宋体"/>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8"/>
        <w:rPr>
          <w:rFonts w:eastAsia="宋体"/>
          <w:bCs/>
          <w:lang w:eastAsia="zh-CN"/>
        </w:rPr>
      </w:pPr>
      <w:r>
        <w:rPr>
          <w:rFonts w:eastAsia="宋体"/>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宋体"/>
          <w:bCs/>
          <w:lang w:eastAsia="zh-CN"/>
        </w:rPr>
        <w:t>hat additional information would the eNB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2"/>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af8"/>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af8"/>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af2"/>
        <w:tblW w:w="0" w:type="auto"/>
        <w:tblLook w:val="04A0" w:firstRow="1" w:lastRow="0" w:firstColumn="1" w:lastColumn="0" w:noHBand="0" w:noVBand="1"/>
      </w:tblPr>
      <w:tblGrid>
        <w:gridCol w:w="3102"/>
        <w:gridCol w:w="3102"/>
        <w:gridCol w:w="3103"/>
      </w:tblGrid>
      <w:tr w:rsidR="00F641A7" w14:paraId="7C24066F" w14:textId="77777777" w:rsidTr="00352F24">
        <w:tc>
          <w:tcPr>
            <w:tcW w:w="3102" w:type="dxa"/>
            <w:shd w:val="clear" w:color="auto" w:fill="FFFF00"/>
          </w:tcPr>
          <w:p w14:paraId="265DD55C"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352F24">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352F24">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352F24">
        <w:tc>
          <w:tcPr>
            <w:tcW w:w="3102" w:type="dxa"/>
          </w:tcPr>
          <w:p w14:paraId="3C030AF3" w14:textId="4712B138" w:rsidR="00F641A7" w:rsidRDefault="00766C1B"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352F24">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TDoc),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352F24">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lastRenderedPageBreak/>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2"/>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lastRenderedPageBreak/>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2"/>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3"/>
        <w:numPr>
          <w:ilvl w:val="0"/>
          <w:numId w:val="0"/>
        </w:numPr>
        <w:ind w:left="720"/>
        <w:rPr>
          <w:lang w:eastAsia="zh-CN"/>
        </w:rPr>
      </w:pPr>
    </w:p>
    <w:p w14:paraId="4FE15054" w14:textId="60BC6EC0" w:rsidR="00DC04CB" w:rsidRDefault="00DC04CB" w:rsidP="00DC04CB">
      <w:pPr>
        <w:pStyle w:val="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af2"/>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374842">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8"/>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6.1 </w:t>
      </w:r>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2"/>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Partial TA: A common timing offset in the eNB’s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8"/>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8"/>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a8"/>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a8"/>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8"/>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8"/>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a8"/>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8"/>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8"/>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8"/>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2"/>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w:t>
            </w:r>
            <w:r w:rsidRPr="000E7D05">
              <w:rPr>
                <w:bCs/>
                <w:lang w:eastAsia="zh-CN"/>
              </w:rPr>
              <w:lastRenderedPageBreak/>
              <w:t>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K_offset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There is a timing advance related timing relationship issue that may be relevant for study under this AI. The time after the UE received a timing advance command from the eNB that the eNB can assume that the UE has applied the command. This is: 16 subframes (NB-IoT) and 8 subframes (eMTC). In IoT-MTN, given the RTD from eNB to UE and considering any operational mode in which the UL and DL frames are not aligned at the eNB,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Study timing relationship issues arising form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af2"/>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8"/>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2"/>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lastRenderedPageBreak/>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8"/>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8"/>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8"/>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8"/>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8"/>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8"/>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8"/>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8"/>
        <w:rPr>
          <w:rFonts w:eastAsia="宋体"/>
          <w:bCs/>
          <w:lang w:eastAsia="zh-CN"/>
        </w:rPr>
      </w:pPr>
      <w:r>
        <w:rPr>
          <w:rFonts w:eastAsia="宋体"/>
          <w:bCs/>
          <w:lang w:eastAsia="zh-CN"/>
        </w:rPr>
        <w:t>What are the reasons for applying NPDCCH / MPDCCH monitoring restrictions:</w:t>
      </w:r>
    </w:p>
    <w:p w14:paraId="5FBDE09B" w14:textId="77777777" w:rsidR="00DA195F" w:rsidRPr="00CA72B4" w:rsidRDefault="00513E5F">
      <w:pPr>
        <w:pStyle w:val="a8"/>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a8"/>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a8"/>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a8"/>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8"/>
        <w:rPr>
          <w:rFonts w:eastAsia="宋体"/>
          <w:bCs/>
          <w:lang w:eastAsia="zh-CN"/>
        </w:rPr>
      </w:pPr>
      <w:r>
        <w:rPr>
          <w:rFonts w:eastAsia="宋体"/>
          <w:bCs/>
          <w:color w:val="0070C0"/>
          <w:lang w:eastAsia="zh-CN"/>
        </w:rPr>
        <w:t xml:space="preserve">There is an UL compensation gap inserted in NB_IoT and </w:t>
      </w:r>
      <w:r w:rsidR="007779DD">
        <w:rPr>
          <w:rFonts w:eastAsia="宋体"/>
          <w:bCs/>
          <w:color w:val="0070C0"/>
          <w:lang w:eastAsia="zh-CN"/>
        </w:rPr>
        <w:t>Emtc</w:t>
      </w:r>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8"/>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r w:rsidR="007779DD">
        <w:rPr>
          <w:rFonts w:eastAsia="宋体"/>
          <w:bCs/>
          <w:lang w:eastAsia="zh-CN"/>
        </w:rPr>
        <w:t>Enb</w:t>
      </w:r>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8"/>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8"/>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8"/>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8"/>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2"/>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Perhaps revisit this question after working on the koffset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8"/>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8"/>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8"/>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r w:rsidR="0010516E">
        <w:rPr>
          <w:rFonts w:eastAsia="宋体"/>
          <w:color w:val="0070C0"/>
        </w:rPr>
        <w:t>Emtc</w:t>
      </w:r>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8"/>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8"/>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8"/>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8"/>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8"/>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8"/>
        <w:rPr>
          <w:rFonts w:eastAsia="宋体"/>
          <w:bCs/>
          <w:lang w:eastAsia="zh-CN"/>
        </w:rPr>
      </w:pPr>
      <w:r>
        <w:rPr>
          <w:rFonts w:eastAsia="宋体"/>
          <w:bCs/>
          <w:lang w:eastAsia="zh-CN"/>
        </w:rPr>
        <w:t>Should the study seek to support PUR and EDT features in Rel17 IoT-NTN?</w:t>
      </w:r>
    </w:p>
    <w:tbl>
      <w:tblPr>
        <w:tblStyle w:val="af2"/>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tbl>
    <w:p w14:paraId="2B46E4B5" w14:textId="77777777" w:rsidR="00435A58" w:rsidRPr="00435A58" w:rsidRDefault="00435A58">
      <w:pPr>
        <w:pStyle w:val="a8"/>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3"/>
      </w:pPr>
      <w:bookmarkStart w:id="9" w:name="_GoBack"/>
      <w:bookmarkEnd w:id="9"/>
      <w:r>
        <w:t>SECOND ROUND: PUR and EDT Issues</w:t>
      </w:r>
    </w:p>
    <w:p w14:paraId="46E698DC" w14:textId="77777777" w:rsidR="00CA72B4" w:rsidRDefault="00CA72B4">
      <w:pPr>
        <w:rPr>
          <w:bCs/>
        </w:rPr>
      </w:pPr>
      <w:r>
        <w:rPr>
          <w:bCs/>
        </w:rPr>
        <w:t>5 respondents out of 6 advocate for at least de-prioritisation of PUR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8"/>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8"/>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8"/>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The tables below are taken from the ZTE Tdoc:</w:t>
      </w:r>
    </w:p>
    <w:p w14:paraId="5BAB94A2" w14:textId="77777777" w:rsidR="00DA195F" w:rsidRDefault="00513E5F">
      <w:pPr>
        <w:pStyle w:val="a3"/>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af2"/>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fldSimple w:instr=" SEQ Table \* ARABIC ">
        <w:r>
          <w:t>2</w:t>
        </w:r>
      </w:fldSimple>
      <w:r>
        <w:t xml:space="preserve"> T</w:t>
      </w:r>
      <w:r>
        <w:rPr>
          <w:rFonts w:eastAsia="宋体" w:hint="eastAsia"/>
        </w:rPr>
        <w:t>iming relationship</w:t>
      </w:r>
      <w:r>
        <w:t>s</w:t>
      </w:r>
      <w:r>
        <w:rPr>
          <w:rFonts w:eastAsia="宋体" w:hint="eastAsia"/>
        </w:rPr>
        <w:t xml:space="preserve"> in </w:t>
      </w:r>
      <w:r>
        <w:t>eMTC</w:t>
      </w:r>
    </w:p>
    <w:tbl>
      <w:tblPr>
        <w:tblStyle w:val="af2"/>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2"/>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af2"/>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4F080F">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4F080F">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4F080F">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4F080F">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4F080F">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4F080F">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4F080F">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4F080F">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4F080F">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4F080F">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4F080F">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4F080F">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4F080F">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4F080F">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4F080F">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4F080F">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4F080F">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4F080F">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4F080F">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8"/>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“Study on NB-IoT / eMTC support for Non-Terrestrial Network”. RANP#86. Sitges, Spain. December 2019.</w:t>
      </w:r>
    </w:p>
    <w:p w14:paraId="12EC0AF3" w14:textId="77777777" w:rsidR="00DA195F" w:rsidRDefault="00513E5F">
      <w:pPr>
        <w:pStyle w:val="af8"/>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C9A68" w14:textId="77777777" w:rsidR="004F080F" w:rsidRDefault="004F080F">
      <w:pPr>
        <w:spacing w:after="0"/>
      </w:pPr>
      <w:r>
        <w:separator/>
      </w:r>
    </w:p>
  </w:endnote>
  <w:endnote w:type="continuationSeparator" w:id="0">
    <w:p w14:paraId="592211F8" w14:textId="77777777" w:rsidR="004F080F" w:rsidRDefault="004F08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default"/>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14:paraId="28A1049C" w14:textId="50E84B0A" w:rsidR="007421BA" w:rsidRDefault="007421BA">
        <w:pPr>
          <w:pStyle w:val="ab"/>
        </w:pPr>
        <w:r>
          <w:fldChar w:fldCharType="begin"/>
        </w:r>
        <w:r>
          <w:instrText xml:space="preserve"> PAGE   \* MERGEFORMAT </w:instrText>
        </w:r>
        <w:r>
          <w:fldChar w:fldCharType="separate"/>
        </w:r>
        <w:r w:rsidR="00E52F84">
          <w:rPr>
            <w:noProof/>
          </w:rPr>
          <w:t>42</w:t>
        </w:r>
        <w:r>
          <w:fldChar w:fldCharType="end"/>
        </w:r>
      </w:p>
    </w:sdtContent>
  </w:sdt>
  <w:p w14:paraId="443A8B72" w14:textId="77777777" w:rsidR="007421BA" w:rsidRDefault="007421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FF975" w14:textId="77777777" w:rsidR="004F080F" w:rsidRDefault="004F080F">
      <w:pPr>
        <w:spacing w:after="0"/>
      </w:pPr>
      <w:r>
        <w:separator/>
      </w:r>
    </w:p>
  </w:footnote>
  <w:footnote w:type="continuationSeparator" w:id="0">
    <w:p w14:paraId="636594D3" w14:textId="77777777" w:rsidR="004F080F" w:rsidRDefault="004F08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A0990F-6578-43B2-82C0-F263E08AF2A1}">
  <ds:schemaRefs>
    <ds:schemaRef ds:uri="http://schemas.openxmlformats.org/officeDocument/2006/bibliography"/>
  </ds:schemaRefs>
</ds:datastoreItem>
</file>

<file path=customXml/itemProps6.xml><?xml version="1.0" encoding="utf-8"?>
<ds:datastoreItem xmlns:ds="http://schemas.openxmlformats.org/officeDocument/2006/customXml" ds:itemID="{7EE88F82-6D1F-4981-A447-DF91F8B5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12443</Words>
  <Characters>70929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ZTE</cp:lastModifiedBy>
  <cp:revision>4</cp:revision>
  <cp:lastPrinted>2016-05-14T13:14:00Z</cp:lastPrinted>
  <dcterms:created xsi:type="dcterms:W3CDTF">2021-02-01T08:35:00Z</dcterms:created>
  <dcterms:modified xsi:type="dcterms:W3CDTF">2021-02-01T08:42:00Z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