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D6206D1" w14:textId="77777777" w:rsidR="00DA195F" w:rsidRDefault="00513E5F">
      <w:pPr>
        <w:pStyle w:val="Heading1"/>
        <w:spacing w:before="80" w:after="80"/>
        <w:ind w:left="431" w:hanging="431"/>
        <w:rPr>
          <w:sz w:val="24"/>
          <w:lang w:eastAsia="zh-CN"/>
        </w:rPr>
      </w:pPr>
      <w:bookmarkStart w:id="0" w:name="_Ref54129494"/>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Koffset.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Koffset.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Koffset.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NPDCCH order to NPRACH extended by Koffset.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For eMTC,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Koffset.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Koffset.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p>
    <w:p w14:paraId="2C433EB4" w14:textId="77777777" w:rsidR="00DA195F" w:rsidRDefault="00DA195F">
      <w:pPr>
        <w:rPr>
          <w:rFonts w:eastAsia="SimSun"/>
          <w:lang w:eastAsia="zh-CN"/>
        </w:rPr>
      </w:pPr>
    </w:p>
    <w:p w14:paraId="2AC954BC" w14:textId="77777777" w:rsidR="00DA195F" w:rsidRDefault="00513E5F">
      <w:pPr>
        <w:rPr>
          <w:rFonts w:eastAsia="SimSun"/>
          <w:b/>
          <w:bCs/>
          <w:lang w:eastAsia="zh-CN"/>
        </w:rPr>
      </w:pPr>
      <w:r>
        <w:rPr>
          <w:rFonts w:eastAsia="SimSun"/>
          <w:b/>
          <w:bCs/>
          <w:lang w:eastAsia="zh-CN"/>
        </w:rPr>
        <w:t>2.1.1 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Koffset.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MTK-Eutelsat, Intel, Len-MM, Spreadtrum, SONY, Xioami,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Koffset. </w:t>
      </w:r>
      <w:r>
        <w:rPr>
          <w:rFonts w:ascii="Times New Roman" w:eastAsia="SimSun" w:hAnsi="Times New Roman" w:cs="Times New Roman"/>
          <w:color w:val="548DD4" w:themeColor="text2" w:themeTint="99"/>
        </w:rPr>
        <w:t>CATT, vivo, MTK-Eutelsat, Len-MM, Spreadtrum,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Koffset.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vivo, MTK-Eutelsat, Intel, Len-MM, Spreadtrum,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Koffset.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For eMTC,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Koffset.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Koffset.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77777777" w:rsidR="00DA195F" w:rsidRDefault="00513E5F">
      <w:pPr>
        <w:rPr>
          <w:rFonts w:eastAsia="SimSun"/>
          <w:b/>
          <w:bCs/>
          <w:lang w:eastAsia="zh-CN"/>
        </w:rPr>
      </w:pPr>
      <w:r>
        <w:rPr>
          <w:rFonts w:eastAsia="SimSun"/>
          <w:b/>
          <w:bCs/>
          <w:lang w:eastAsia="zh-CN"/>
        </w:rPr>
        <w:t>2.1.2 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K_offset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7777777" w:rsidR="00DA195F" w:rsidRDefault="00513E5F">
      <w:pPr>
        <w:rPr>
          <w:b/>
        </w:rPr>
      </w:pPr>
      <w:r>
        <w:rPr>
          <w:b/>
        </w:rPr>
        <w:t>2.1.3 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r w:rsidRPr="00A83784">
              <w:rPr>
                <w:b w:val="0"/>
                <w:bCs w:val="0"/>
                <w:lang w:eastAsia="zh-TW"/>
              </w:rPr>
              <w:t>K_offset solution used in NR NTN for the timing relationships can be us</w:t>
            </w:r>
            <w:r>
              <w:rPr>
                <w:b w:val="0"/>
                <w:bCs w:val="0"/>
                <w:lang w:eastAsia="zh-TW"/>
              </w:rPr>
              <w:t>ed on a per case basis for NB-Io</w:t>
            </w:r>
            <w:r w:rsidRPr="00A83784">
              <w:rPr>
                <w:b w:val="0"/>
                <w:bCs w:val="0"/>
                <w:lang w:eastAsia="zh-TW"/>
              </w:rPr>
              <w:t xml:space="preserve">T / eMTC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would prefer the proposal to align with RAN1#98bis conclusions as proposed in our TDoc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eMTC. Identify if there are specific issues for NB-IoT / eMTC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or eMTC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We think that all of the items in the FL proposal need a timing offset added. We think that a single offset can be applied to each of the timing relationships, i.e. there is a single K_offset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eMTC,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Support if introduction of K_offset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5EA8A9B" w14:textId="77777777"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14:paraId="71D44964"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r>
        <w:lastRenderedPageBreak/>
        <w:t>Koffset Configuration</w:t>
      </w:r>
    </w:p>
    <w:p w14:paraId="28F319EE" w14:textId="77777777" w:rsidR="00DA195F" w:rsidRDefault="00513E5F">
      <w:pPr>
        <w:rPr>
          <w:rFonts w:eastAsia="SimSun"/>
          <w:color w:val="0070C0"/>
          <w:lang w:eastAsia="zh-CN"/>
        </w:rPr>
      </w:pPr>
      <w:r>
        <w:rPr>
          <w:rFonts w:eastAsia="SimSun"/>
          <w:color w:val="0070C0"/>
          <w:lang w:eastAsia="zh-CN"/>
        </w:rPr>
        <w:t xml:space="preserve">The Koffset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SimSun"/>
          <w:color w:val="0070C0"/>
        </w:rPr>
      </w:pPr>
      <w:r>
        <w:rPr>
          <w:rFonts w:eastAsia="SimSun"/>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How many values of Koffset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Koffset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Koffset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Beam specific Koffset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How are Koffset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The Koffset value, at least for initial access, should be capable of supporting the RTT to the furthest UE in the NTN cell/beam coverage. It seems like this does not need to be specified and that a reasonable eNodeB implementation may choose the Koffset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77777777" w:rsidR="00DA195F" w:rsidRDefault="00513E5F">
      <w:pPr>
        <w:rPr>
          <w:rFonts w:eastAsia="SimSun"/>
          <w:u w:val="single"/>
        </w:rPr>
      </w:pPr>
      <w:r>
        <w:rPr>
          <w:rFonts w:eastAsia="SimSun"/>
          <w:u w:val="single"/>
        </w:rPr>
        <w:t>2.2.1.1 Cell specific vrs beam specific Koffset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Koffset should be supported in initial access. </w:t>
      </w:r>
      <w:r>
        <w:rPr>
          <w:rFonts w:eastAsia="SimSun"/>
          <w:color w:val="548DD4" w:themeColor="text2" w:themeTint="99"/>
        </w:rPr>
        <w:t>Spreadtrum, Samsung, Apple, Len-MM, Samsung, NOK-NSB</w:t>
      </w:r>
    </w:p>
    <w:p w14:paraId="315867FA" w14:textId="77777777" w:rsidR="00DA195F" w:rsidRDefault="00513E5F">
      <w:pPr>
        <w:rPr>
          <w:rFonts w:eastAsia="SimSun"/>
          <w:color w:val="FF0000"/>
          <w:lang w:eastAsia="zh-CN"/>
        </w:rPr>
      </w:pPr>
      <w:r>
        <w:rPr>
          <w:rFonts w:eastAsia="SimSun"/>
          <w:lang w:eastAsia="zh-CN"/>
        </w:rPr>
        <w:t>Beam-specific Koffset values supported</w:t>
      </w:r>
      <w:r>
        <w:rPr>
          <w:rFonts w:eastAsia="SimSun"/>
          <w:color w:val="FF0000"/>
          <w:lang w:eastAsia="zh-CN"/>
        </w:rPr>
        <w:t xml:space="preserve">. </w:t>
      </w:r>
      <w:r>
        <w:rPr>
          <w:rFonts w:eastAsia="SimSun"/>
          <w:color w:val="548DD4" w:themeColor="text2" w:themeTint="99"/>
          <w:lang w:eastAsia="zh-CN"/>
        </w:rPr>
        <w:t>MTK-Eutelsat, Spreadtrum</w:t>
      </w:r>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SimSun"/>
        </w:rPr>
      </w:pPr>
      <w:r>
        <w:rPr>
          <w:rFonts w:eastAsia="SimSun"/>
        </w:rPr>
        <w:t xml:space="preserve"> </w:t>
      </w:r>
    </w:p>
    <w:p w14:paraId="476F48D9" w14:textId="77777777" w:rsidR="00DA195F" w:rsidRDefault="00513E5F">
      <w:pPr>
        <w:rPr>
          <w:rFonts w:eastAsia="SimSun"/>
          <w:u w:val="single"/>
        </w:rPr>
      </w:pPr>
      <w:r>
        <w:rPr>
          <w:rFonts w:eastAsia="SimSun"/>
          <w:u w:val="single"/>
        </w:rPr>
        <w:t>2.2.1.2 Koffset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r>
        <w:rPr>
          <w:rFonts w:eastAsia="SimSun"/>
          <w:lang w:eastAsia="zh-CN"/>
        </w:rPr>
        <w:t xml:space="preserve">Koffset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r>
        <w:rPr>
          <w:rFonts w:eastAsia="SimSun"/>
          <w:lang w:eastAsia="zh-CN"/>
        </w:rPr>
        <w:t xml:space="preserve">Koffset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SimSun"/>
        </w:rPr>
      </w:pPr>
    </w:p>
    <w:p w14:paraId="573B41F2" w14:textId="77777777" w:rsidR="00DA195F" w:rsidRDefault="00513E5F">
      <w:pPr>
        <w:rPr>
          <w:rFonts w:eastAsia="SimSun"/>
          <w:u w:val="single"/>
        </w:rPr>
      </w:pPr>
      <w:r>
        <w:rPr>
          <w:rFonts w:eastAsia="SimSun"/>
          <w:u w:val="single"/>
        </w:rPr>
        <w:t>2.2.1.3 UE-specific Koffset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r>
        <w:rPr>
          <w:rFonts w:eastAsia="SimSun"/>
          <w:lang w:eastAsia="zh-CN"/>
        </w:rPr>
        <w:t xml:space="preserve">Koffset value applied depends on the configured Koffset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r>
              <w:rPr>
                <w:rFonts w:eastAsia="SimSun"/>
                <w:b/>
                <w:bCs/>
                <w:u w:val="single"/>
                <w:lang w:eastAsia="zh-CN"/>
              </w:rPr>
              <w:t>Tdoc#</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Huawei, HiSilicon</w:t>
            </w:r>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eNB</w:t>
            </w:r>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Proposal 1: configured K_offset and timing distance difference between the first transmission and the repetiton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BC1192">
            <w:pPr>
              <w:rPr>
                <w:bCs/>
              </w:rPr>
            </w:pPr>
            <w:r>
              <w:rPr>
                <w:bCs/>
              </w:rPr>
              <w:t>Samsung</w:t>
            </w:r>
          </w:p>
        </w:tc>
        <w:tc>
          <w:tcPr>
            <w:tcW w:w="2327" w:type="dxa"/>
          </w:tcPr>
          <w:p w14:paraId="0F4B704C" w14:textId="77777777" w:rsidR="002D552E" w:rsidRDefault="002D552E" w:rsidP="00BC1192">
            <w:pPr>
              <w:rPr>
                <w:bCs/>
              </w:rPr>
            </w:pPr>
            <w:r>
              <w:rPr>
                <w:bCs/>
              </w:rPr>
              <w:t>Cell specific</w:t>
            </w:r>
          </w:p>
        </w:tc>
        <w:tc>
          <w:tcPr>
            <w:tcW w:w="4840" w:type="dxa"/>
          </w:tcPr>
          <w:p w14:paraId="5C1FBB52" w14:textId="77777777" w:rsidR="002D552E" w:rsidRDefault="002D552E" w:rsidP="00BC1192">
            <w:pPr>
              <w:rPr>
                <w:bCs/>
              </w:rPr>
            </w:pPr>
            <w:r>
              <w:rPr>
                <w:bCs/>
              </w:rPr>
              <w:t>As in NR NTN</w:t>
            </w:r>
          </w:p>
        </w:tc>
      </w:tr>
      <w:tr w:rsidR="00252797" w14:paraId="7D09B9D4" w14:textId="77777777" w:rsidTr="000E7D05">
        <w:tc>
          <w:tcPr>
            <w:tcW w:w="2326" w:type="dxa"/>
          </w:tcPr>
          <w:p w14:paraId="46792405" w14:textId="55531510" w:rsidR="00252797" w:rsidRDefault="00252797" w:rsidP="00BC1192">
            <w:pPr>
              <w:rPr>
                <w:bCs/>
                <w:lang w:eastAsia="zh-CN"/>
              </w:rPr>
            </w:pPr>
            <w:r>
              <w:rPr>
                <w:rFonts w:hint="eastAsia"/>
                <w:bCs/>
                <w:lang w:eastAsia="zh-CN"/>
              </w:rPr>
              <w:t>CATT</w:t>
            </w:r>
          </w:p>
        </w:tc>
        <w:tc>
          <w:tcPr>
            <w:tcW w:w="2327" w:type="dxa"/>
          </w:tcPr>
          <w:p w14:paraId="3067B60D" w14:textId="0142FCE0" w:rsidR="00252797" w:rsidRDefault="00252797" w:rsidP="00BC1192">
            <w:pPr>
              <w:rPr>
                <w:bCs/>
                <w:lang w:eastAsia="zh-CN"/>
              </w:rPr>
            </w:pPr>
            <w:r>
              <w:rPr>
                <w:rFonts w:hint="eastAsia"/>
                <w:bCs/>
                <w:lang w:eastAsia="zh-CN"/>
              </w:rPr>
              <w:t>Cell specific</w:t>
            </w:r>
          </w:p>
        </w:tc>
        <w:tc>
          <w:tcPr>
            <w:tcW w:w="4840" w:type="dxa"/>
          </w:tcPr>
          <w:p w14:paraId="15BFE039" w14:textId="4F7CCB43" w:rsidR="00252797" w:rsidRDefault="00252797" w:rsidP="00BC1192">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 xml:space="preserve">The choice depends to an extent on what a “beam” is. An IoT-NTN beam seems to have different characteristics to an NR NTN beam. </w:t>
            </w:r>
            <w:r>
              <w:rPr>
                <w:bCs/>
              </w:rPr>
              <w:t>Our preference is for cell-specific</w:t>
            </w:r>
          </w:p>
          <w:p w14:paraId="3F7A666E" w14:textId="77777777" w:rsidR="00706FE4" w:rsidRDefault="00706FE4" w:rsidP="00706FE4">
            <w:pPr>
              <w:rPr>
                <w:bCs/>
              </w:rPr>
            </w:pP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hejiang Lav</w:t>
            </w:r>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r>
              <w:rPr>
                <w:rFonts w:hint="eastAsia"/>
                <w:bCs/>
                <w:lang w:eastAsia="zh-CN"/>
              </w:rPr>
              <w:lastRenderedPageBreak/>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BC1192">
            <w:pPr>
              <w:rPr>
                <w:bCs/>
              </w:rPr>
            </w:pPr>
            <w:r>
              <w:rPr>
                <w:bCs/>
              </w:rPr>
              <w:t>Samsung</w:t>
            </w:r>
          </w:p>
        </w:tc>
        <w:tc>
          <w:tcPr>
            <w:tcW w:w="1451" w:type="dxa"/>
          </w:tcPr>
          <w:p w14:paraId="1AED6FA0" w14:textId="77777777" w:rsidR="002D552E" w:rsidRDefault="002D552E" w:rsidP="00BC1192">
            <w:pPr>
              <w:rPr>
                <w:bCs/>
              </w:rPr>
            </w:pPr>
          </w:p>
        </w:tc>
        <w:tc>
          <w:tcPr>
            <w:tcW w:w="6062" w:type="dxa"/>
          </w:tcPr>
          <w:p w14:paraId="21E01356" w14:textId="77777777" w:rsidR="002D552E" w:rsidRDefault="002D552E" w:rsidP="00BC1192">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ms for eMTC devices and up to 10 seconds for NB-IoT devices. The maximum differential delay in an NTN cell is acceptable in network scheduling, comparing with 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This signaling saving is significant in case the </w:t>
            </w:r>
            <w:r>
              <w:lastRenderedPageBreak/>
              <w:t>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BC1192">
            <w:pPr>
              <w:rPr>
                <w:bCs/>
              </w:rPr>
            </w:pPr>
            <w:r>
              <w:rPr>
                <w:bCs/>
              </w:rPr>
              <w:t>Samsung</w:t>
            </w:r>
          </w:p>
        </w:tc>
        <w:tc>
          <w:tcPr>
            <w:tcW w:w="2205" w:type="dxa"/>
          </w:tcPr>
          <w:p w14:paraId="2C8C501A" w14:textId="77777777" w:rsidR="002D552E" w:rsidRDefault="002D552E" w:rsidP="00BC1192">
            <w:pPr>
              <w:rPr>
                <w:bCs/>
              </w:rPr>
            </w:pPr>
          </w:p>
        </w:tc>
        <w:tc>
          <w:tcPr>
            <w:tcW w:w="4820" w:type="dxa"/>
          </w:tcPr>
          <w:p w14:paraId="1DE9ADCB" w14:textId="77777777" w:rsidR="002D552E" w:rsidRDefault="002D552E" w:rsidP="00BC1192">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The UE-specific K_offset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r>
              <w:rPr>
                <w:bCs/>
              </w:rPr>
              <w:t>Mediatek</w:t>
            </w:r>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eMTC NTN. </w:t>
            </w:r>
            <w:r w:rsidRPr="00A83784">
              <w:rPr>
                <w:bCs/>
              </w:rPr>
              <w:t xml:space="preserve">There are two issues with using the K_offset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Interrupted DL subframes when the eNB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bl>
    <w:p w14:paraId="2DEDD246" w14:textId="77777777" w:rsidR="00DA195F" w:rsidRDefault="00DA195F">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The NR NTN work item has agreed that an offset, K_mac,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DL and UL frame timing are not aligned at the eNB</w:t>
      </w:r>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gNB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Denote by K_mac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lastRenderedPageBreak/>
              <w:t xml:space="preserve">For UE action and assumption on downlink configuration indicated by a MAC-CE command in PDSCH, K_mac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Note: This does not preclude identifying exceptional MAC CE timing relationship(s) that may or may not require K_mac.</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BC1192">
            <w:pPr>
              <w:rPr>
                <w:bCs/>
              </w:rPr>
            </w:pPr>
            <w:r>
              <w:rPr>
                <w:bCs/>
              </w:rPr>
              <w:t>Samsung</w:t>
            </w:r>
          </w:p>
        </w:tc>
        <w:tc>
          <w:tcPr>
            <w:tcW w:w="2205" w:type="dxa"/>
          </w:tcPr>
          <w:p w14:paraId="5772209E" w14:textId="77777777" w:rsidR="002D552E" w:rsidRDefault="002D552E" w:rsidP="00BC1192">
            <w:pPr>
              <w:rPr>
                <w:bCs/>
              </w:rPr>
            </w:pPr>
          </w:p>
        </w:tc>
        <w:tc>
          <w:tcPr>
            <w:tcW w:w="4820" w:type="dxa"/>
          </w:tcPr>
          <w:p w14:paraId="505A2477" w14:textId="77777777" w:rsidR="002D552E" w:rsidRDefault="002D552E" w:rsidP="00BC1192">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BC1192">
            <w:pPr>
              <w:rPr>
                <w:bCs/>
                <w:lang w:eastAsia="zh-CN"/>
              </w:rPr>
            </w:pPr>
            <w:r>
              <w:rPr>
                <w:rFonts w:hint="eastAsia"/>
                <w:bCs/>
                <w:lang w:eastAsia="zh-CN"/>
              </w:rPr>
              <w:t>CATT</w:t>
            </w:r>
          </w:p>
        </w:tc>
        <w:tc>
          <w:tcPr>
            <w:tcW w:w="2205" w:type="dxa"/>
          </w:tcPr>
          <w:p w14:paraId="13FD2B2B" w14:textId="77777777" w:rsidR="00F2333F" w:rsidRDefault="00F2333F" w:rsidP="00BC1192">
            <w:pPr>
              <w:rPr>
                <w:bCs/>
              </w:rPr>
            </w:pPr>
          </w:p>
        </w:tc>
        <w:tc>
          <w:tcPr>
            <w:tcW w:w="4820" w:type="dxa"/>
          </w:tcPr>
          <w:p w14:paraId="726DD195" w14:textId="611CD3AC" w:rsidR="00F2333F" w:rsidRDefault="00F2333F" w:rsidP="00BC1192">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lastRenderedPageBreak/>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BC1192">
            <w:pPr>
              <w:rPr>
                <w:bCs/>
              </w:rPr>
            </w:pPr>
            <w:r>
              <w:rPr>
                <w:bCs/>
              </w:rPr>
              <w:t>Samsung</w:t>
            </w:r>
          </w:p>
        </w:tc>
        <w:tc>
          <w:tcPr>
            <w:tcW w:w="2205" w:type="dxa"/>
          </w:tcPr>
          <w:p w14:paraId="1A239156" w14:textId="77777777" w:rsidR="002D552E" w:rsidRDefault="002D552E" w:rsidP="00BC1192">
            <w:pPr>
              <w:rPr>
                <w:bCs/>
              </w:rPr>
            </w:pPr>
          </w:p>
        </w:tc>
        <w:tc>
          <w:tcPr>
            <w:tcW w:w="4820" w:type="dxa"/>
          </w:tcPr>
          <w:p w14:paraId="618B4B82" w14:textId="77777777" w:rsidR="002D552E" w:rsidRDefault="002D552E" w:rsidP="00BC1192">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BC1192">
            <w:pPr>
              <w:rPr>
                <w:bCs/>
              </w:rPr>
            </w:pPr>
            <w:r>
              <w:rPr>
                <w:rFonts w:hint="eastAsia"/>
                <w:bCs/>
                <w:lang w:eastAsia="zh-CN"/>
              </w:rPr>
              <w:t>CATT</w:t>
            </w:r>
          </w:p>
        </w:tc>
        <w:tc>
          <w:tcPr>
            <w:tcW w:w="2205" w:type="dxa"/>
          </w:tcPr>
          <w:p w14:paraId="469C74F1" w14:textId="77777777" w:rsidR="0038324C" w:rsidRDefault="0038324C" w:rsidP="00BC1192">
            <w:pPr>
              <w:rPr>
                <w:bCs/>
              </w:rPr>
            </w:pPr>
          </w:p>
        </w:tc>
        <w:tc>
          <w:tcPr>
            <w:tcW w:w="4820" w:type="dxa"/>
          </w:tcPr>
          <w:p w14:paraId="7B3F2AD2" w14:textId="2657CCB0" w:rsidR="0038324C" w:rsidRDefault="0038324C" w:rsidP="00BC1192">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bl>
    <w:p w14:paraId="1553D6CD" w14:textId="77777777"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UE may monitor for NPDCCH during “waiting periods” (e.g. between NPDSCH and transmitting  HARQ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r>
              <w:rPr>
                <w:rFonts w:eastAsia="SimSun"/>
                <w:sz w:val="20"/>
                <w:szCs w:val="20"/>
                <w:lang w:eastAsia="zh-CN"/>
              </w:rPr>
              <w:t>Oppo</w:t>
            </w:r>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r>
              <w:rPr>
                <w:rFonts w:eastAsia="SimSun"/>
                <w:color w:val="000000" w:themeColor="text1"/>
                <w:sz w:val="20"/>
                <w:szCs w:val="20"/>
                <w:lang w:eastAsia="zh-CN"/>
              </w:rPr>
              <w:t>IinterDigital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The issue of DL/UL conflict or overlap in HD-FDD has been raised by companies saying this will require a study and solutions. Such solutions could look at whether the eNB-based scheduler can resolve such collisions for HD-FDD UEs and w</w:t>
      </w:r>
      <w:r>
        <w:rPr>
          <w:rFonts w:eastAsia="SimSun"/>
          <w:bCs/>
          <w:lang w:eastAsia="zh-CN"/>
        </w:rPr>
        <w:t>hat additional information would the eNB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BC1192">
            <w:r w:rsidRPr="00A31C7B">
              <w:t>Samsung</w:t>
            </w:r>
          </w:p>
        </w:tc>
        <w:tc>
          <w:tcPr>
            <w:tcW w:w="1560" w:type="dxa"/>
          </w:tcPr>
          <w:p w14:paraId="19F4EA2F" w14:textId="77777777" w:rsidR="002D552E" w:rsidRPr="00A31C7B" w:rsidRDefault="002D552E" w:rsidP="00BC1192">
            <w:r>
              <w:t>Yes</w:t>
            </w:r>
          </w:p>
        </w:tc>
        <w:tc>
          <w:tcPr>
            <w:tcW w:w="4917" w:type="dxa"/>
          </w:tcPr>
          <w:p w14:paraId="63C8DB60" w14:textId="77777777" w:rsidR="002D552E" w:rsidRPr="00A31C7B" w:rsidRDefault="002D552E" w:rsidP="00BC1192">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BC1192">
            <w:pPr>
              <w:rPr>
                <w:lang w:eastAsia="zh-CN"/>
              </w:rPr>
            </w:pPr>
            <w:r>
              <w:rPr>
                <w:rFonts w:hint="eastAsia"/>
                <w:lang w:eastAsia="zh-CN"/>
              </w:rPr>
              <w:t>CATT</w:t>
            </w:r>
          </w:p>
        </w:tc>
        <w:tc>
          <w:tcPr>
            <w:tcW w:w="1560" w:type="dxa"/>
          </w:tcPr>
          <w:p w14:paraId="41DB84BA" w14:textId="6C6CB9DF" w:rsidR="00297A67" w:rsidRDefault="00297A67" w:rsidP="00BC1192">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NB-IoT and eMTC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UE-applied timing advance (the eNB may not have full knowledge of the UL/DL timing offset at the UE)</w:t>
            </w:r>
          </w:p>
          <w:p w14:paraId="13D9AF23" w14:textId="2CBE6574" w:rsidR="00706FE4" w:rsidRDefault="00706FE4" w:rsidP="00706FE4">
            <w:r w:rsidRPr="00343435">
              <w:t>When does UE need to monitor PDCCH?</w:t>
            </w:r>
          </w:p>
        </w:tc>
      </w:tr>
    </w:tbl>
    <w:p w14:paraId="02259016" w14:textId="77777777" w:rsidR="00DA195F" w:rsidRDefault="00DA195F">
      <w:pPr>
        <w:rPr>
          <w:color w:val="FF0000"/>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ra-ResponseWindow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lastRenderedPageBreak/>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BC1192">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BC1192">
            <w:pPr>
              <w:rPr>
                <w:color w:val="000000" w:themeColor="text1"/>
              </w:rPr>
            </w:pPr>
          </w:p>
        </w:tc>
        <w:tc>
          <w:tcPr>
            <w:tcW w:w="4917" w:type="dxa"/>
          </w:tcPr>
          <w:p w14:paraId="48321EF2" w14:textId="77777777" w:rsidR="002D552E" w:rsidRPr="00AA475E" w:rsidRDefault="002D552E" w:rsidP="00BC1192">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BC1192">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BC1192">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BC1192">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Given that this issues was discussed in RAN2#112e</w:t>
            </w:r>
            <w:r>
              <w:t xml:space="preserve"> for NR NTN, this is likely to be discussed in RAN2 for IoT-NTN too. RAN1 could agree that this issue is considered in RAN2.</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BC1192">
            <w:r w:rsidRPr="00A31C7B">
              <w:t>Samsung</w:t>
            </w:r>
          </w:p>
        </w:tc>
        <w:tc>
          <w:tcPr>
            <w:tcW w:w="1597" w:type="dxa"/>
          </w:tcPr>
          <w:p w14:paraId="2EFD679C" w14:textId="77777777" w:rsidR="002D552E" w:rsidRPr="00A31C7B" w:rsidRDefault="002D552E" w:rsidP="00BC1192"/>
        </w:tc>
        <w:tc>
          <w:tcPr>
            <w:tcW w:w="4893" w:type="dxa"/>
          </w:tcPr>
          <w:p w14:paraId="4A7CA68F" w14:textId="77777777" w:rsidR="002D552E" w:rsidRPr="00A31C7B" w:rsidRDefault="002D552E" w:rsidP="00BC1192">
            <w:r>
              <w:t>This can be studied.</w:t>
            </w:r>
          </w:p>
        </w:tc>
      </w:tr>
      <w:tr w:rsidR="0009384A" w:rsidRPr="00A31C7B" w14:paraId="0282B952" w14:textId="77777777" w:rsidTr="00706FE4">
        <w:tc>
          <w:tcPr>
            <w:tcW w:w="2817" w:type="dxa"/>
          </w:tcPr>
          <w:p w14:paraId="1CA70586" w14:textId="6AF58BFF" w:rsidR="0009384A" w:rsidRPr="00A31C7B" w:rsidRDefault="0009384A" w:rsidP="00BC1192">
            <w:pPr>
              <w:rPr>
                <w:lang w:eastAsia="zh-CN"/>
              </w:rPr>
            </w:pPr>
            <w:r>
              <w:rPr>
                <w:rFonts w:hint="eastAsia"/>
                <w:lang w:eastAsia="zh-CN"/>
              </w:rPr>
              <w:t>CATT</w:t>
            </w:r>
          </w:p>
        </w:tc>
        <w:tc>
          <w:tcPr>
            <w:tcW w:w="1597" w:type="dxa"/>
          </w:tcPr>
          <w:p w14:paraId="4E8BA418" w14:textId="32D402A8" w:rsidR="0009384A" w:rsidRPr="00A31C7B" w:rsidRDefault="0009384A" w:rsidP="00BC1192">
            <w:pPr>
              <w:rPr>
                <w:lang w:eastAsia="zh-CN"/>
              </w:rPr>
            </w:pPr>
          </w:p>
        </w:tc>
        <w:tc>
          <w:tcPr>
            <w:tcW w:w="4893" w:type="dxa"/>
          </w:tcPr>
          <w:p w14:paraId="5E231252" w14:textId="6032DBC5" w:rsidR="0009384A" w:rsidRDefault="0009384A" w:rsidP="00BC1192">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BC1192">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BC1192">
            <w:pPr>
              <w:rPr>
                <w:lang w:eastAsia="zh-CN"/>
              </w:rPr>
            </w:pPr>
          </w:p>
        </w:tc>
        <w:tc>
          <w:tcPr>
            <w:tcW w:w="4893" w:type="dxa"/>
          </w:tcPr>
          <w:p w14:paraId="035D2A52" w14:textId="6DD74D50" w:rsidR="00450006" w:rsidRDefault="00450006" w:rsidP="00BC1192">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ra-ResponseWindow in NTN for both LEO and GEO scenarios.</w:t>
            </w:r>
            <w:r>
              <w:t xml:space="preserve">”. After transmitting Msg1 in RACH procedure, the UE can go to sleep during the duration of time corresponding to the offset applied to </w:t>
            </w:r>
            <w:r w:rsidRPr="00A83784">
              <w:t>start of ra-ResponseWindow</w:t>
            </w:r>
            <w:r>
              <w:t xml:space="preserve"> to save power consumption. </w:t>
            </w:r>
            <w:r>
              <w:lastRenderedPageBreak/>
              <w:t xml:space="preserve">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lastRenderedPageBreak/>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NB-IoT and eMTC. We share ZTE’s view and would like to see issues related to power consumption in AI 8.15.5 considered as part of the study.</w:t>
            </w:r>
          </w:p>
        </w:tc>
      </w:tr>
    </w:tbl>
    <w:p w14:paraId="33E5C10A" w14:textId="77777777" w:rsidR="00DA195F" w:rsidRDefault="00DA195F">
      <w:pPr>
        <w:spacing w:beforeLines="100" w:before="240" w:afterLines="100" w:after="240"/>
        <w:rPr>
          <w:bCs/>
          <w:iCs/>
          <w:lang w:eastAsia="zh-CN"/>
        </w:rPr>
      </w:pPr>
    </w:p>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take into account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77777777" w:rsidR="00DA195F" w:rsidRDefault="00513E5F">
      <w:pPr>
        <w:rPr>
          <w:rFonts w:eastAsia="SimSun"/>
          <w:lang w:eastAsia="zh-CN"/>
        </w:rPr>
      </w:pPr>
      <w:r>
        <w:rPr>
          <w:rFonts w:eastAsia="SimSun"/>
          <w:b/>
          <w:bCs/>
          <w:u w:val="single"/>
          <w:lang w:eastAsia="zh-CN"/>
        </w:rPr>
        <w:t xml:space="preserve">FL Conclusion: </w:t>
      </w:r>
      <w:r>
        <w:rPr>
          <w:rFonts w:eastAsia="SimSun"/>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BC1192">
            <w:r w:rsidRPr="00B239B1">
              <w:t>Samsung</w:t>
            </w:r>
          </w:p>
        </w:tc>
        <w:tc>
          <w:tcPr>
            <w:tcW w:w="1560" w:type="dxa"/>
          </w:tcPr>
          <w:p w14:paraId="490E72BF" w14:textId="77777777" w:rsidR="002D552E" w:rsidRPr="00B239B1" w:rsidRDefault="002D552E" w:rsidP="00BC1192"/>
        </w:tc>
        <w:tc>
          <w:tcPr>
            <w:tcW w:w="4917" w:type="dxa"/>
          </w:tcPr>
          <w:p w14:paraId="4A54F55C" w14:textId="77777777" w:rsidR="002D552E" w:rsidRPr="00B239B1" w:rsidRDefault="002D552E" w:rsidP="00BC1192">
            <w:r>
              <w:t>We agree with the FL’s conclusion.</w:t>
            </w:r>
          </w:p>
        </w:tc>
      </w:tr>
      <w:tr w:rsidR="002D552E" w14:paraId="20E82910" w14:textId="77777777" w:rsidTr="000E7D05">
        <w:tc>
          <w:tcPr>
            <w:tcW w:w="2830" w:type="dxa"/>
          </w:tcPr>
          <w:p w14:paraId="4712E0F4" w14:textId="44F27CC8" w:rsidR="002D552E" w:rsidRPr="00A16EB5" w:rsidRDefault="00A16EB5" w:rsidP="00BC1192">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BC1192">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BC1192">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bl>
    <w:p w14:paraId="0D2C0EFC" w14:textId="77777777" w:rsidR="00DA195F" w:rsidRDefault="00513E5F">
      <w:pPr>
        <w:rPr>
          <w:b/>
        </w:rPr>
      </w:pPr>
      <w:r>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Partial TA: A common timing offset in the eNB’s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The eNB needs to know the UE-specific timing advance so that it can properly account for this in its scheduling delay. This avoids collisions between UL and DL in HD-FDD UEs and avoids wasted subframes (unused subframes if the eNB always assumes maximum differential TA). This signaling is in contrast to terrestrial NB-IoT / eMTC, where the timing advance is controlled by the eNB</w:t>
      </w:r>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r>
        <w:rPr>
          <w:bCs/>
        </w:rPr>
        <w:t xml:space="preserve">eNB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a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gNB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BC1192">
            <w:pPr>
              <w:rPr>
                <w:bCs/>
              </w:rPr>
            </w:pPr>
            <w:r>
              <w:rPr>
                <w:bCs/>
              </w:rPr>
              <w:t>Samsung</w:t>
            </w:r>
          </w:p>
        </w:tc>
        <w:tc>
          <w:tcPr>
            <w:tcW w:w="3102" w:type="dxa"/>
          </w:tcPr>
          <w:p w14:paraId="57783FC7" w14:textId="77777777" w:rsidR="002D552E" w:rsidRDefault="002D552E" w:rsidP="00BC1192">
            <w:pPr>
              <w:rPr>
                <w:bCs/>
              </w:rPr>
            </w:pPr>
          </w:p>
        </w:tc>
        <w:tc>
          <w:tcPr>
            <w:tcW w:w="3103" w:type="dxa"/>
          </w:tcPr>
          <w:p w14:paraId="3B339A72" w14:textId="77777777" w:rsidR="002D552E" w:rsidRDefault="002D552E" w:rsidP="00BC1192">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BC1192">
            <w:pPr>
              <w:rPr>
                <w:bCs/>
                <w:lang w:eastAsia="zh-CN"/>
              </w:rPr>
            </w:pPr>
            <w:r>
              <w:rPr>
                <w:rFonts w:hint="eastAsia"/>
                <w:bCs/>
                <w:lang w:eastAsia="zh-CN"/>
              </w:rPr>
              <w:t>CATT</w:t>
            </w:r>
          </w:p>
        </w:tc>
        <w:tc>
          <w:tcPr>
            <w:tcW w:w="3102" w:type="dxa"/>
          </w:tcPr>
          <w:p w14:paraId="6D997374" w14:textId="34DFC9D8" w:rsidR="007779DD" w:rsidRDefault="007779DD" w:rsidP="00BC1192">
            <w:pPr>
              <w:rPr>
                <w:bCs/>
                <w:lang w:eastAsia="zh-CN"/>
              </w:rPr>
            </w:pPr>
            <w:r>
              <w:rPr>
                <w:rFonts w:hint="eastAsia"/>
                <w:bCs/>
                <w:lang w:eastAsia="zh-CN"/>
              </w:rPr>
              <w:t>Yes</w:t>
            </w:r>
          </w:p>
        </w:tc>
        <w:tc>
          <w:tcPr>
            <w:tcW w:w="3103" w:type="dxa"/>
          </w:tcPr>
          <w:p w14:paraId="32EF09B9" w14:textId="492FA38C" w:rsidR="007779DD" w:rsidRDefault="007779DD" w:rsidP="00BC1192">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eMTC for UL synchronization. To our understanding, longer RTT in LEO / GEO would still require use of TA similarly to NR NTN for UL synchronization. The Koffset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bl>
    <w:p w14:paraId="6E0A120A" w14:textId="77777777" w:rsidR="00DA195F" w:rsidRDefault="00DA195F">
      <w:pPr>
        <w:rPr>
          <w:bCs/>
        </w:rPr>
      </w:pPr>
    </w:p>
    <w:p w14:paraId="1362F8AE" w14:textId="77777777" w:rsidR="00DA195F" w:rsidRDefault="00DA195F">
      <w:pPr>
        <w:rPr>
          <w:bCs/>
        </w:rPr>
      </w:pPr>
    </w:p>
    <w:p w14:paraId="56EAE62E" w14:textId="77777777" w:rsidR="00DA195F" w:rsidRDefault="00DA195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Proposal 4: If an offset used to adjust the start of mac-ContentionResolutionTimer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lastRenderedPageBreak/>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BC1192">
            <w:pPr>
              <w:spacing w:after="180" w:line="360" w:lineRule="auto"/>
              <w:rPr>
                <w:lang w:eastAsia="zh-CN"/>
              </w:rPr>
            </w:pPr>
            <w:r>
              <w:rPr>
                <w:lang w:eastAsia="zh-CN"/>
              </w:rPr>
              <w:t>Samsung</w:t>
            </w:r>
          </w:p>
        </w:tc>
        <w:tc>
          <w:tcPr>
            <w:tcW w:w="3102" w:type="dxa"/>
          </w:tcPr>
          <w:p w14:paraId="23080B12" w14:textId="77777777" w:rsidR="002D552E" w:rsidRDefault="002D552E" w:rsidP="00BC1192">
            <w:pPr>
              <w:spacing w:after="180" w:line="360" w:lineRule="auto"/>
              <w:rPr>
                <w:lang w:eastAsia="zh-CN"/>
              </w:rPr>
            </w:pPr>
            <w:r>
              <w:rPr>
                <w:lang w:eastAsia="zh-CN"/>
              </w:rPr>
              <w:t>Yes</w:t>
            </w:r>
          </w:p>
        </w:tc>
        <w:tc>
          <w:tcPr>
            <w:tcW w:w="3103" w:type="dxa"/>
          </w:tcPr>
          <w:p w14:paraId="069D6FF5" w14:textId="77777777" w:rsidR="002D552E" w:rsidRDefault="002D552E" w:rsidP="00BC1192">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BC1192">
            <w:pPr>
              <w:spacing w:after="180" w:line="360" w:lineRule="auto"/>
              <w:rPr>
                <w:lang w:eastAsia="zh-CN"/>
              </w:rPr>
            </w:pPr>
            <w:r>
              <w:rPr>
                <w:rFonts w:hint="eastAsia"/>
                <w:lang w:eastAsia="zh-CN"/>
              </w:rPr>
              <w:t>CATT</w:t>
            </w:r>
          </w:p>
        </w:tc>
        <w:tc>
          <w:tcPr>
            <w:tcW w:w="3102" w:type="dxa"/>
          </w:tcPr>
          <w:p w14:paraId="78D09C08" w14:textId="5112DB78" w:rsidR="007779DD" w:rsidRDefault="007779DD" w:rsidP="00BC1192">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BC1192">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rFonts w:hint="eastAsia"/>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bl>
    <w:p w14:paraId="5B7F16D7" w14:textId="77777777" w:rsidR="00DA195F" w:rsidRDefault="00DA195F">
      <w:pPr>
        <w:spacing w:after="180" w:line="360" w:lineRule="auto"/>
        <w:rPr>
          <w:lang w:eastAsia="zh-CN"/>
        </w:rPr>
      </w:pPr>
    </w:p>
    <w:p w14:paraId="359C17F6" w14:textId="77777777" w:rsidR="00DA195F" w:rsidRDefault="00513E5F">
      <w:pPr>
        <w:rPr>
          <w:bCs/>
        </w:rPr>
      </w:pPr>
      <w:r>
        <w:rPr>
          <w:bCs/>
        </w:rPr>
        <w:br w:type="page"/>
      </w:r>
    </w:p>
    <w:p w14:paraId="40501AC0" w14:textId="77777777" w:rsidR="00DA195F" w:rsidRDefault="00DA195F">
      <w:pPr>
        <w:rPr>
          <w:b/>
        </w:rPr>
      </w:pPr>
    </w:p>
    <w:p w14:paraId="5C1EFE2E" w14:textId="77777777" w:rsidR="00DA195F" w:rsidRDefault="00DA195F">
      <w:pPr>
        <w:rPr>
          <w:b/>
        </w:rPr>
      </w:pPr>
    </w:p>
    <w:p w14:paraId="2C0A2106" w14:textId="77777777" w:rsidR="00DA195F" w:rsidRDefault="00DA195F">
      <w:pPr>
        <w:rPr>
          <w:bCs/>
          <w:iCs/>
          <w:color w:val="FF0000"/>
          <w:lang w:eastAsia="zh-CN"/>
        </w:rPr>
      </w:pPr>
    </w:p>
    <w:p w14:paraId="1BA1B5C1" w14:textId="77777777" w:rsidR="00DA195F" w:rsidRDefault="00513E5F">
      <w:pPr>
        <w:pStyle w:val="Heading2"/>
      </w:pPr>
      <w:r>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What are the reasons for applying NPDCCH / MPDCCH monitoring restrictions:</w:t>
      </w:r>
    </w:p>
    <w:p w14:paraId="5FBDE09B" w14:textId="77777777" w:rsidR="00DA195F" w:rsidRPr="009C5F44" w:rsidRDefault="00513E5F">
      <w:pPr>
        <w:pStyle w:val="BodyText"/>
        <w:numPr>
          <w:ilvl w:val="0"/>
          <w:numId w:val="23"/>
        </w:numPr>
        <w:rPr>
          <w:rFonts w:eastAsia="SimSun"/>
          <w:bCs/>
          <w:highlight w:val="yellow"/>
          <w:lang w:eastAsia="zh-CN"/>
        </w:rPr>
      </w:pPr>
      <w:r w:rsidRPr="009C5F44">
        <w:rPr>
          <w:rFonts w:eastAsia="SimSun"/>
          <w:bCs/>
          <w:highlight w:val="yellow"/>
          <w:lang w:eastAsia="zh-CN"/>
        </w:rPr>
        <w:t>Avoid UL / DL collisions in HD-FDD.</w:t>
      </w:r>
    </w:p>
    <w:p w14:paraId="125E71C1"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9C5F44">
        <w:rPr>
          <w:rFonts w:eastAsia="SimSun"/>
          <w:bCs/>
          <w:highlight w:val="yellow"/>
          <w:lang w:eastAsia="zh-CN"/>
        </w:rPr>
        <w:t>Allows time for UE to decode NPDCCH / MPDCCH</w:t>
      </w:r>
      <w:r>
        <w:rPr>
          <w:rFonts w:eastAsia="SimSun"/>
          <w:bCs/>
          <w:lang w:eastAsia="zh-CN"/>
        </w:rPr>
        <w:t xml:space="preserve"> (this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NB_IoT and </w:t>
      </w:r>
      <w:r w:rsidR="007779DD">
        <w:rPr>
          <w:rFonts w:eastAsia="SimSun"/>
          <w:bCs/>
          <w:color w:val="0070C0"/>
          <w:lang w:eastAsia="zh-CN"/>
        </w:rPr>
        <w:t>Emtc</w:t>
      </w:r>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r w:rsidR="007779DD">
        <w:rPr>
          <w:rFonts w:eastAsia="SimSun"/>
          <w:bCs/>
          <w:lang w:eastAsia="zh-CN"/>
        </w:rPr>
        <w:t>Enb</w:t>
      </w:r>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lastRenderedPageBreak/>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55A39">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55A39">
            <w:pPr>
              <w:spacing w:after="180" w:line="360" w:lineRule="auto"/>
              <w:rPr>
                <w:lang w:eastAsia="zh-CN"/>
              </w:rPr>
            </w:pPr>
            <w:r>
              <w:rPr>
                <w:lang w:eastAsia="zh-CN"/>
              </w:rPr>
              <w:t>ZTE</w:t>
            </w:r>
          </w:p>
        </w:tc>
        <w:tc>
          <w:tcPr>
            <w:tcW w:w="5388" w:type="dxa"/>
          </w:tcPr>
          <w:p w14:paraId="0D0C390B" w14:textId="77777777" w:rsidR="00435A58" w:rsidRDefault="00435A58" w:rsidP="00655A39">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ms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lastRenderedPageBreak/>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bl>
    <w:p w14:paraId="57D11388" w14:textId="77777777" w:rsidR="00DA195F" w:rsidRDefault="00DA195F">
      <w:pPr>
        <w:spacing w:after="180" w:line="360" w:lineRule="auto"/>
        <w:rPr>
          <w:lang w:eastAsia="zh-CN"/>
        </w:rPr>
      </w:pPr>
    </w:p>
    <w:p w14:paraId="0AE71FC7" w14:textId="77777777"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PoV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1029EBC9" w:rsidR="00DA195F" w:rsidRDefault="00513E5F">
      <w:pPr>
        <w:rPr>
          <w:rFonts w:eastAsia="SimSun"/>
          <w:color w:val="0070C0"/>
          <w:lang w:eastAsia="zh-CN"/>
        </w:rPr>
      </w:pPr>
      <w:r>
        <w:rPr>
          <w:rFonts w:eastAsia="SimSun"/>
          <w:color w:val="0070C0"/>
        </w:rPr>
        <w:t xml:space="preserve">In general, what set of R16 </w:t>
      </w:r>
      <w:r w:rsidR="0010516E">
        <w:rPr>
          <w:rFonts w:eastAsia="SimSun"/>
          <w:color w:val="0070C0"/>
        </w:rPr>
        <w:t>Emtc</w:t>
      </w:r>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55A39">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55A39">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r w:rsidR="0010516E">
              <w:rPr>
                <w:lang w:eastAsia="zh-CN"/>
              </w:rPr>
              <w:t>Emtc</w:t>
            </w:r>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r w:rsidR="0010516E" w:rsidRPr="002E58AD">
              <w:rPr>
                <w:lang w:eastAsia="zh-CN"/>
              </w:rPr>
              <w:t>Emtc</w:t>
            </w:r>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NB-IoT and Emtc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bookmarkStart w:id="9" w:name="_GoBack" w:colFirst="0" w:colLast="0"/>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While it would be desirable to consider all R16 features in the study, RAN1 needs to prioritise the features studied, given the timeplan for the IoT-NTN study item.</w:t>
            </w:r>
          </w:p>
        </w:tc>
      </w:tr>
      <w:bookmarkEnd w:id="9"/>
    </w:tbl>
    <w:p w14:paraId="2B46E4B5" w14:textId="77777777" w:rsidR="00435A58" w:rsidRPr="00435A58" w:rsidRDefault="00435A58">
      <w:pPr>
        <w:pStyle w:val="BodyText"/>
        <w:rPr>
          <w:rFonts w:eastAsia="SimSun"/>
          <w:bCs/>
          <w:lang w:eastAsia="zh-CN"/>
        </w:rPr>
      </w:pPr>
    </w:p>
    <w:p w14:paraId="59C0D097" w14:textId="77777777" w:rsidR="00435A58" w:rsidRDefault="00435A58">
      <w:pPr>
        <w:pStyle w:val="BodyText"/>
        <w:rPr>
          <w:rFonts w:eastAsia="SimSun"/>
          <w:bCs/>
          <w:lang w:eastAsia="zh-CN"/>
        </w:rPr>
      </w:pPr>
    </w:p>
    <w:p w14:paraId="550F0CB7" w14:textId="77777777"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Terrestrial eMTC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eMTC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The tables below are taken from the ZTE Tdoc:</w:t>
      </w:r>
    </w:p>
    <w:p w14:paraId="5BAB94A2" w14:textId="77777777" w:rsidR="00DA195F" w:rsidRDefault="00513E5F">
      <w:pPr>
        <w:pStyle w:val="Caption"/>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r>
        <w:t>eMTC</w:t>
      </w:r>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CEmodeA,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The following documents were submitted to RAN1#104e before the Tdoc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736ABD">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736ABD">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736ABD">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736ABD">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736ABD">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736ABD">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736ABD">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736ABD">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736ABD">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736ABD">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736ABD">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736ABD">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736ABD">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736ABD">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736ABD">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736ABD">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736ABD">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736ABD">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736ABD">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“Study on NB-IoT / eMTC support for Non-Terrestrial Network”. RANP#86. Sitges,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131AC" w14:textId="77777777" w:rsidR="00736ABD" w:rsidRDefault="00736ABD">
      <w:pPr>
        <w:spacing w:after="0"/>
      </w:pPr>
      <w:r>
        <w:separator/>
      </w:r>
    </w:p>
  </w:endnote>
  <w:endnote w:type="continuationSeparator" w:id="0">
    <w:p w14:paraId="3E39CC49" w14:textId="77777777" w:rsidR="00736ABD" w:rsidRDefault="00736A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491F" w14:textId="77777777" w:rsidR="00706FE4" w:rsidRDefault="00706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EndPr/>
    <w:sdtContent>
      <w:p w14:paraId="28A1049C" w14:textId="473E6752" w:rsidR="00513E5F" w:rsidRDefault="00513E5F">
        <w:pPr>
          <w:pStyle w:val="Footer"/>
        </w:pPr>
        <w:r>
          <w:fldChar w:fldCharType="begin"/>
        </w:r>
        <w:r>
          <w:instrText xml:space="preserve"> PAGE   \* MERGEFORMAT </w:instrText>
        </w:r>
        <w:r>
          <w:fldChar w:fldCharType="separate"/>
        </w:r>
        <w:r w:rsidR="0009384A">
          <w:rPr>
            <w:noProof/>
          </w:rPr>
          <w:t>19</w:t>
        </w:r>
        <w:r>
          <w:fldChar w:fldCharType="end"/>
        </w:r>
      </w:p>
    </w:sdtContent>
  </w:sdt>
  <w:p w14:paraId="443A8B72" w14:textId="77777777" w:rsidR="00513E5F" w:rsidRDefault="00513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A92A" w14:textId="77777777" w:rsidR="00706FE4" w:rsidRDefault="00706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C8D97" w14:textId="77777777" w:rsidR="00736ABD" w:rsidRDefault="00736ABD">
      <w:pPr>
        <w:spacing w:after="0"/>
      </w:pPr>
      <w:r>
        <w:separator/>
      </w:r>
    </w:p>
  </w:footnote>
  <w:footnote w:type="continuationSeparator" w:id="0">
    <w:p w14:paraId="2E4501A9" w14:textId="77777777" w:rsidR="00736ABD" w:rsidRDefault="00736A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1375" w14:textId="77777777" w:rsidR="00706FE4" w:rsidRDefault="00706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5D33" w14:textId="77777777" w:rsidR="00706FE4" w:rsidRDefault="00706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D8FA4" w14:textId="77777777" w:rsidR="00706FE4" w:rsidRDefault="00706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C31F9-40B3-42B0-8D9D-92594272792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68AC3C5D-B2AB-4F56-933F-DDAC76AB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10070</Words>
  <Characters>57405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67341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Beale, Martin</cp:lastModifiedBy>
  <cp:revision>4</cp:revision>
  <cp:lastPrinted>2016-05-14T13:14:00Z</cp:lastPrinted>
  <dcterms:created xsi:type="dcterms:W3CDTF">2021-01-27T10:49:00Z</dcterms:created>
  <dcterms:modified xsi:type="dcterms:W3CDTF">2021-01-27T11:53:00Z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