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515CC7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lastRenderedPageBreak/>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lastRenderedPageBreak/>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w:t>
      </w:r>
      <w:r w:rsidR="005A5561">
        <w:rPr>
          <w:lang w:eastAsia="zh-CN"/>
        </w:rPr>
        <w:lastRenderedPageBreak/>
        <w:t xml:space="preserve">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lastRenderedPageBreak/>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A21F6F" w:rsidRPr="00A8787F" w14:paraId="10E22C5A" w14:textId="77777777" w:rsidTr="00713B9B">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lastRenderedPageBreak/>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lastRenderedPageBreak/>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05pt;height:115.75pt" o:ole="">
            <v:imagedata r:id="rId15" o:title=""/>
          </v:shape>
          <o:OLEObject Type="Embed" ProgID="Visio.Drawing.11" ShapeID="_x0000_i1025" DrawAspect="Content" ObjectID="_1673533986"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lastRenderedPageBreak/>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Eutelsat, Sateliot,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Sateliot,  MediaTek, ESA commented that UE noise figure of 7 dB would be preferable. ZTE, OPPO, CATT assumed PC5 (20 dBm). Since, there is no overall prefence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D365C">
        <w:tc>
          <w:tcPr>
            <w:tcW w:w="2407" w:type="dxa"/>
            <w:shd w:val="clear" w:color="auto" w:fill="DBE5F1" w:themeFill="accent1" w:themeFillTint="33"/>
          </w:tcPr>
          <w:p w14:paraId="5670B69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D365C">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D365C">
        <w:tc>
          <w:tcPr>
            <w:tcW w:w="2407" w:type="dxa"/>
          </w:tcPr>
          <w:p w14:paraId="4A3FA584"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D365C">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lastRenderedPageBreak/>
        <w:t xml:space="preserve">UL Channel Bandwidth for NB-IoT and eMTC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eMTC: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722BC84" w14:textId="77777777"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p>
    <w:p w14:paraId="7AA6E253" w14:textId="77777777" w:rsidR="00595493" w:rsidRPr="006B626A" w:rsidRDefault="00595493" w:rsidP="00595493">
      <w:pPr>
        <w:numPr>
          <w:ilvl w:val="1"/>
          <w:numId w:val="17"/>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D30581">
        <w:tc>
          <w:tcPr>
            <w:tcW w:w="2407" w:type="dxa"/>
            <w:shd w:val="clear" w:color="auto" w:fill="D9E2F3"/>
          </w:tcPr>
          <w:p w14:paraId="2EEE697D" w14:textId="77777777" w:rsidR="00595493" w:rsidRPr="00F250B7" w:rsidRDefault="00595493" w:rsidP="00D30581">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D30581">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D30581">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D30581">
            <w:pPr>
              <w:rPr>
                <w:bCs/>
                <w:iCs/>
                <w:lang w:eastAsia="x-none"/>
              </w:rPr>
            </w:pPr>
            <w:r w:rsidRPr="00F250B7">
              <w:rPr>
                <w:bCs/>
                <w:iCs/>
                <w:lang w:eastAsia="x-none"/>
              </w:rPr>
              <w:t>LEO (600 km)</w:t>
            </w:r>
          </w:p>
        </w:tc>
      </w:tr>
      <w:tr w:rsidR="00595493" w:rsidRPr="00F250B7" w14:paraId="6BC0E659" w14:textId="77777777" w:rsidTr="00D30581">
        <w:tc>
          <w:tcPr>
            <w:tcW w:w="2407" w:type="dxa"/>
            <w:shd w:val="clear" w:color="auto" w:fill="D9E2F3"/>
          </w:tcPr>
          <w:p w14:paraId="5E324515" w14:textId="77777777" w:rsidR="00595493" w:rsidRPr="00F250B7" w:rsidRDefault="00595493" w:rsidP="00D30581">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D30581">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D30581">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D30581">
            <w:pPr>
              <w:rPr>
                <w:bCs/>
                <w:iCs/>
                <w:lang w:eastAsia="x-none"/>
              </w:rPr>
            </w:pPr>
            <w:r w:rsidRPr="00F250B7">
              <w:rPr>
                <w:bCs/>
                <w:iCs/>
                <w:lang w:eastAsia="x-none"/>
              </w:rPr>
              <w:t>2.2</w:t>
            </w:r>
          </w:p>
        </w:tc>
      </w:tr>
      <w:tr w:rsidR="00595493" w:rsidRPr="00F250B7" w14:paraId="5B6CCFB0" w14:textId="77777777" w:rsidTr="00D30581">
        <w:tc>
          <w:tcPr>
            <w:tcW w:w="2407" w:type="dxa"/>
            <w:shd w:val="clear" w:color="auto" w:fill="D9E2F3"/>
          </w:tcPr>
          <w:p w14:paraId="6251D58C" w14:textId="77777777" w:rsidR="00595493" w:rsidRPr="00F250B7" w:rsidRDefault="00595493" w:rsidP="00D30581">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D30581">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D30581">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D30581">
            <w:pPr>
              <w:rPr>
                <w:bCs/>
                <w:iCs/>
                <w:lang w:eastAsia="x-none"/>
              </w:rPr>
            </w:pPr>
            <w:r w:rsidRPr="00F250B7">
              <w:rPr>
                <w:bCs/>
                <w:iCs/>
                <w:lang w:eastAsia="x-none"/>
              </w:rPr>
              <w:t>0.1</w:t>
            </w:r>
          </w:p>
        </w:tc>
      </w:tr>
      <w:tr w:rsidR="00595493" w:rsidRPr="00F250B7" w14:paraId="143DEA99" w14:textId="77777777" w:rsidTr="00D30581">
        <w:tc>
          <w:tcPr>
            <w:tcW w:w="2407" w:type="dxa"/>
            <w:shd w:val="clear" w:color="auto" w:fill="D9E2F3"/>
          </w:tcPr>
          <w:p w14:paraId="786889B2" w14:textId="77777777" w:rsidR="00595493" w:rsidRPr="00F250B7" w:rsidRDefault="00595493" w:rsidP="00D30581">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D30581">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D30581">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D30581">
            <w:pPr>
              <w:rPr>
                <w:bCs/>
                <w:iCs/>
                <w:lang w:eastAsia="x-none"/>
              </w:rPr>
            </w:pPr>
            <w:r w:rsidRPr="00F250B7">
              <w:rPr>
                <w:bCs/>
                <w:iCs/>
                <w:lang w:eastAsia="x-none"/>
              </w:rPr>
              <w:t>3</w:t>
            </w:r>
          </w:p>
        </w:tc>
      </w:tr>
      <w:tr w:rsidR="00595493" w:rsidRPr="00F250B7" w14:paraId="1BEEA919" w14:textId="77777777" w:rsidTr="00D30581">
        <w:tc>
          <w:tcPr>
            <w:tcW w:w="2407" w:type="dxa"/>
            <w:shd w:val="clear" w:color="auto" w:fill="D9E2F3"/>
          </w:tcPr>
          <w:p w14:paraId="265DAF20" w14:textId="77777777" w:rsidR="00595493" w:rsidRPr="00F250B7" w:rsidRDefault="00595493" w:rsidP="00D30581">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D30581">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D30581">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D30581">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lastRenderedPageBreak/>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D365C">
        <w:tc>
          <w:tcPr>
            <w:tcW w:w="2407" w:type="dxa"/>
            <w:shd w:val="clear" w:color="auto" w:fill="DBE5F1" w:themeFill="accent1" w:themeFillTint="33"/>
          </w:tcPr>
          <w:p w14:paraId="083F41F1"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DD173DE"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D365C">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D365C">
        <w:tc>
          <w:tcPr>
            <w:tcW w:w="2407" w:type="dxa"/>
          </w:tcPr>
          <w:p w14:paraId="0CF59233"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3F65843"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5CA4E2D9"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3C9F76E0"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CA03342"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D365C">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347ED644"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D365C">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D365C">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61C9F15C" w14:textId="77777777" w:rsidR="00851023" w:rsidRPr="003A3844" w:rsidRDefault="00851023" w:rsidP="009D365C">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D365C">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rPr>
        <w:lastRenderedPageBreak/>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r>
        <w:t>Sateliot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t xml:space="preserve">There was no time for discussion in GTW for this issue. However, the moderator and ZTE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(R1-2101146)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Thales, Sateliot satellite parameters Set 4</w:t>
      </w:r>
      <w:r w:rsidR="00FE1248">
        <w:rPr>
          <w:rFonts w:eastAsiaTheme="minorEastAsia"/>
          <w:u w:val="single"/>
          <w:lang w:eastAsia="zh-CN"/>
        </w:rPr>
        <w:t xml:space="preserve"> (R1-210</w:t>
      </w:r>
      <w:r w:rsidR="00FE1248">
        <w:rPr>
          <w:rFonts w:eastAsiaTheme="minorEastAsia"/>
          <w:u w:val="single"/>
          <w:lang w:eastAsia="zh-CN"/>
        </w:rPr>
        <w:t>1019</w:t>
      </w:r>
      <w:r w:rsidR="00FE1248">
        <w:rPr>
          <w:rFonts w:eastAsiaTheme="minorEastAsia"/>
          <w:u w:val="single"/>
          <w:lang w:eastAsia="zh-CN"/>
        </w:rPr>
        <w:t>)</w:t>
      </w:r>
      <w:r w:rsidR="00FE1248">
        <w:rPr>
          <w:rFonts w:eastAsiaTheme="minorEastAsia"/>
          <w:lang w:eastAsia="zh-CN"/>
        </w:rPr>
        <w:t>, it is the beam edge elevation that is assumed</w:t>
      </w:r>
      <w:r w:rsidR="00FE1248">
        <w:rPr>
          <w:rFonts w:eastAsiaTheme="minorEastAsia"/>
          <w:lang w:eastAsia="zh-CN"/>
        </w:rPr>
        <w:t xml:space="preserve">. We included tables with the HPBW,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(R1-2101146)</w:t>
      </w:r>
      <w:r w:rsidR="00FE1248">
        <w:rPr>
          <w:rFonts w:eastAsiaTheme="minorEastAsia"/>
          <w:lang w:eastAsia="zh-CN"/>
        </w:rPr>
        <w:t xml:space="preserve"> and </w:t>
      </w:r>
      <w:r w:rsidR="00FE1248">
        <w:rPr>
          <w:rFonts w:eastAsiaTheme="minorEastAsia"/>
          <w:highlight w:val="yellow"/>
          <w:lang w:eastAsia="zh-CN"/>
        </w:rPr>
        <w:t>THALES, Satelliot, Gatehouse SET 4</w:t>
      </w:r>
      <w:r w:rsidR="00FE1248">
        <w:rPr>
          <w:rFonts w:eastAsiaTheme="minorEastAsia"/>
          <w:lang w:eastAsia="zh-CN"/>
        </w:rPr>
        <w:t xml:space="preserve"> (R1-2101019)</w:t>
      </w:r>
      <w:r w:rsidR="00FE1248">
        <w:rPr>
          <w:rFonts w:eastAsiaTheme="minorEastAsia"/>
          <w:lang w:eastAsia="zh-CN"/>
        </w:rPr>
        <w:t xml:space="preserve">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e.g. for Eutelsat Set 3</w:t>
      </w:r>
      <w:r w:rsidR="00B55E56">
        <w:rPr>
          <w:rFonts w:eastAsiaTheme="minorEastAsia"/>
          <w:b/>
          <w:i/>
          <w:lang w:eastAsia="zh-CN"/>
        </w:rPr>
        <w:t xml:space="preserve"> </w:t>
      </w:r>
      <w:r w:rsidR="00B55E56" w:rsidRPr="00B55E56">
        <w:rPr>
          <w:rFonts w:eastAsiaTheme="minorEastAsia"/>
          <w:b/>
          <w:i/>
          <w:lang w:eastAsia="zh-CN"/>
        </w:rPr>
        <w:t>(R1-2101146)</w:t>
      </w:r>
      <w:r w:rsidR="00B55E56">
        <w:rPr>
          <w:rFonts w:eastAsiaTheme="minorEastAsia"/>
          <w:b/>
          <w:i/>
          <w:lang w:eastAsia="zh-CN"/>
        </w:rPr>
        <w:t xml:space="preserve"> and Thales/Sateliot Set 4 (R1-2101019</w:t>
      </w:r>
      <w:r w:rsidR="00B55E56" w:rsidRPr="00B55E56">
        <w:rPr>
          <w:rFonts w:eastAsiaTheme="minorEastAsia"/>
          <w:b/>
          <w:i/>
          <w:lang w:eastAsia="zh-CN"/>
        </w:rPr>
        <w:t>)</w:t>
      </w:r>
    </w:p>
    <w:tbl>
      <w:tblPr>
        <w:tblStyle w:val="TableGrid"/>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C61CA3">
        <w:tc>
          <w:tcPr>
            <w:tcW w:w="2830" w:type="dxa"/>
            <w:shd w:val="clear" w:color="auto" w:fill="DBE5F1" w:themeFill="accent1" w:themeFillTint="33"/>
          </w:tcPr>
          <w:p w14:paraId="6BA3FF7A" w14:textId="19EE70B4" w:rsidR="00577A27" w:rsidRDefault="00B55E56" w:rsidP="00C61CA3">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(R1-2101146)</w:t>
            </w:r>
          </w:p>
        </w:tc>
        <w:tc>
          <w:tcPr>
            <w:tcW w:w="1701" w:type="dxa"/>
            <w:shd w:val="clear" w:color="auto" w:fill="DBE5F1" w:themeFill="accent1" w:themeFillTint="33"/>
          </w:tcPr>
          <w:p w14:paraId="0D8CE263"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C61CA3">
        <w:tc>
          <w:tcPr>
            <w:tcW w:w="2830" w:type="dxa"/>
            <w:shd w:val="clear" w:color="auto" w:fill="DBE5F1" w:themeFill="accent1" w:themeFillTint="33"/>
          </w:tcPr>
          <w:p w14:paraId="01892E49" w14:textId="77777777" w:rsidR="00577A27" w:rsidRDefault="00577A27" w:rsidP="00C61CA3">
            <w:pPr>
              <w:snapToGrid w:val="0"/>
              <w:spacing w:beforeLines="50" w:before="120" w:afterLines="50" w:after="120"/>
              <w:rPr>
                <w:rFonts w:eastAsiaTheme="minorEastAsia"/>
                <w:lang w:eastAsia="zh-CN"/>
              </w:rPr>
            </w:pPr>
            <w:r>
              <w:rPr>
                <w:rFonts w:eastAsiaTheme="minorEastAsia"/>
                <w:lang w:eastAsia="zh-CN"/>
              </w:rPr>
              <w:t>HPBW</w:t>
            </w:r>
          </w:p>
        </w:tc>
        <w:tc>
          <w:tcPr>
            <w:tcW w:w="1701" w:type="dxa"/>
          </w:tcPr>
          <w:p w14:paraId="06C15CFF"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C61CA3">
        <w:tc>
          <w:tcPr>
            <w:tcW w:w="2830" w:type="dxa"/>
            <w:shd w:val="clear" w:color="auto" w:fill="DBE5F1" w:themeFill="accent1" w:themeFillTint="33"/>
          </w:tcPr>
          <w:p w14:paraId="3F1FF5CB" w14:textId="77777777" w:rsidR="00577A27" w:rsidRDefault="00577A27" w:rsidP="00C61CA3">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C61CA3">
        <w:tc>
          <w:tcPr>
            <w:tcW w:w="2830" w:type="dxa"/>
            <w:shd w:val="clear" w:color="auto" w:fill="DBE5F1" w:themeFill="accent1" w:themeFillTint="33"/>
          </w:tcPr>
          <w:p w14:paraId="05F430FB" w14:textId="77777777" w:rsidR="00577A27" w:rsidRDefault="00577A27" w:rsidP="00C61CA3">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C61CA3">
        <w:tc>
          <w:tcPr>
            <w:tcW w:w="2830" w:type="dxa"/>
            <w:shd w:val="clear" w:color="auto" w:fill="DBE5F1" w:themeFill="accent1" w:themeFillTint="33"/>
          </w:tcPr>
          <w:p w14:paraId="0DF6982B" w14:textId="77777777" w:rsidR="00577A27" w:rsidRDefault="00577A27" w:rsidP="00C61CA3">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C61CA3">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TableGrid"/>
        <w:tblW w:w="0" w:type="auto"/>
        <w:tblInd w:w="1023" w:type="dxa"/>
        <w:tblLook w:val="04A0" w:firstRow="1" w:lastRow="0" w:firstColumn="1" w:lastColumn="0" w:noHBand="0" w:noVBand="1"/>
      </w:tblPr>
      <w:tblGrid>
        <w:gridCol w:w="4642"/>
        <w:gridCol w:w="3261"/>
      </w:tblGrid>
      <w:tr w:rsidR="00B55E56" w14:paraId="53C6C4A0" w14:textId="77777777" w:rsidTr="00C61CA3">
        <w:tc>
          <w:tcPr>
            <w:tcW w:w="4642" w:type="dxa"/>
            <w:shd w:val="clear" w:color="auto" w:fill="DBE5F1" w:themeFill="accent1" w:themeFillTint="33"/>
          </w:tcPr>
          <w:p w14:paraId="466E1738" w14:textId="77777777" w:rsidR="00B55E56" w:rsidRDefault="00B55E56" w:rsidP="00C61CA3">
            <w:pPr>
              <w:snapToGrid w:val="0"/>
              <w:spacing w:beforeLines="50" w:before="120" w:afterLines="50" w:after="120"/>
              <w:rPr>
                <w:rFonts w:eastAsiaTheme="minorEastAsia"/>
                <w:lang w:eastAsia="zh-CN"/>
              </w:rPr>
            </w:pPr>
            <w:r>
              <w:rPr>
                <w:rFonts w:eastAsiaTheme="minorEastAsia"/>
                <w:highlight w:val="yellow"/>
                <w:lang w:eastAsia="zh-CN"/>
              </w:rPr>
              <w:lastRenderedPageBreak/>
              <w:t>THALES, Satelliot, Gatehouse SET 4</w:t>
            </w:r>
            <w:r>
              <w:rPr>
                <w:rFonts w:eastAsiaTheme="minorEastAsia"/>
                <w:lang w:eastAsia="zh-CN"/>
              </w:rPr>
              <w:t xml:space="preserve"> (R1-2101019)</w:t>
            </w:r>
          </w:p>
        </w:tc>
        <w:tc>
          <w:tcPr>
            <w:tcW w:w="3261" w:type="dxa"/>
            <w:shd w:val="clear" w:color="auto" w:fill="DBE5F1" w:themeFill="accent1" w:themeFillTint="33"/>
          </w:tcPr>
          <w:p w14:paraId="087D8E3F" w14:textId="77777777" w:rsidR="00B55E56" w:rsidRDefault="00B55E56" w:rsidP="00C61CA3">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C61CA3">
        <w:tc>
          <w:tcPr>
            <w:tcW w:w="4642" w:type="dxa"/>
            <w:shd w:val="clear" w:color="auto" w:fill="DBE5F1" w:themeFill="accent1" w:themeFillTint="33"/>
          </w:tcPr>
          <w:p w14:paraId="0B7221BE" w14:textId="77777777" w:rsidR="00B55E56" w:rsidRDefault="00B55E56" w:rsidP="00C61CA3">
            <w:pPr>
              <w:snapToGrid w:val="0"/>
              <w:spacing w:beforeLines="50" w:before="120" w:afterLines="50" w:after="120"/>
              <w:rPr>
                <w:rFonts w:eastAsiaTheme="minorEastAsia"/>
                <w:lang w:eastAsia="zh-CN"/>
              </w:rPr>
            </w:pPr>
            <w:r>
              <w:rPr>
                <w:rFonts w:eastAsiaTheme="minorEastAsia"/>
                <w:lang w:eastAsia="zh-CN"/>
              </w:rPr>
              <w:t>HPBW</w:t>
            </w:r>
          </w:p>
        </w:tc>
        <w:tc>
          <w:tcPr>
            <w:tcW w:w="3261" w:type="dxa"/>
          </w:tcPr>
          <w:p w14:paraId="348533EA" w14:textId="77777777" w:rsidR="00B55E56" w:rsidRDefault="00B55E56" w:rsidP="00C61CA3">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C61CA3">
        <w:tc>
          <w:tcPr>
            <w:tcW w:w="4642" w:type="dxa"/>
            <w:shd w:val="clear" w:color="auto" w:fill="DBE5F1" w:themeFill="accent1" w:themeFillTint="33"/>
          </w:tcPr>
          <w:p w14:paraId="38C1212D" w14:textId="77777777" w:rsidR="00B55E56" w:rsidRDefault="00B55E56" w:rsidP="00C61CA3">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C61CA3">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C61CA3">
        <w:tc>
          <w:tcPr>
            <w:tcW w:w="4642" w:type="dxa"/>
            <w:shd w:val="clear" w:color="auto" w:fill="DBE5F1" w:themeFill="accent1" w:themeFillTint="33"/>
          </w:tcPr>
          <w:p w14:paraId="4BA3B480" w14:textId="77777777" w:rsidR="00B55E56" w:rsidRDefault="00B55E56" w:rsidP="00C61CA3">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C61CA3">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C61CA3">
        <w:tc>
          <w:tcPr>
            <w:tcW w:w="4642" w:type="dxa"/>
            <w:shd w:val="clear" w:color="auto" w:fill="DBE5F1" w:themeFill="accent1" w:themeFillTint="33"/>
          </w:tcPr>
          <w:p w14:paraId="78BEA3D2" w14:textId="77777777" w:rsidR="00B55E56" w:rsidRDefault="00B55E56" w:rsidP="00C61CA3">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C61CA3">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1031AFB9" w14:textId="77777777" w:rsidTr="00D30581">
        <w:tc>
          <w:tcPr>
            <w:tcW w:w="1795" w:type="dxa"/>
            <w:shd w:val="clear" w:color="auto" w:fill="FFC000"/>
          </w:tcPr>
          <w:p w14:paraId="7B6A8A78" w14:textId="77777777" w:rsidR="0050403B" w:rsidRDefault="0050403B" w:rsidP="00D30581">
            <w:pPr>
              <w:pStyle w:val="BodyText"/>
              <w:spacing w:line="256" w:lineRule="auto"/>
              <w:rPr>
                <w:rFonts w:cs="Arial"/>
              </w:rPr>
            </w:pPr>
            <w:r>
              <w:rPr>
                <w:rFonts w:cs="Arial"/>
              </w:rPr>
              <w:t>Company</w:t>
            </w:r>
          </w:p>
        </w:tc>
        <w:tc>
          <w:tcPr>
            <w:tcW w:w="7834" w:type="dxa"/>
            <w:shd w:val="clear" w:color="auto" w:fill="FFC000"/>
          </w:tcPr>
          <w:p w14:paraId="414F09A4" w14:textId="77777777" w:rsidR="0050403B" w:rsidRDefault="0050403B" w:rsidP="00D30581">
            <w:pPr>
              <w:pStyle w:val="BodyText"/>
              <w:spacing w:line="256" w:lineRule="auto"/>
              <w:rPr>
                <w:rFonts w:cs="Arial"/>
              </w:rPr>
            </w:pPr>
            <w:r>
              <w:rPr>
                <w:rFonts w:cs="Arial"/>
              </w:rPr>
              <w:t>Comments</w:t>
            </w:r>
          </w:p>
        </w:tc>
      </w:tr>
      <w:tr w:rsidR="0050403B" w14:paraId="15FF0865" w14:textId="77777777" w:rsidTr="00D30581">
        <w:tc>
          <w:tcPr>
            <w:tcW w:w="1795" w:type="dxa"/>
          </w:tcPr>
          <w:p w14:paraId="5D2F0932" w14:textId="77777777" w:rsidR="0050403B" w:rsidRDefault="0050403B" w:rsidP="00D30581">
            <w:pPr>
              <w:pStyle w:val="BodyText"/>
              <w:spacing w:line="256" w:lineRule="auto"/>
              <w:rPr>
                <w:rFonts w:cs="Arial"/>
              </w:rPr>
            </w:pPr>
          </w:p>
        </w:tc>
        <w:tc>
          <w:tcPr>
            <w:tcW w:w="7834" w:type="dxa"/>
          </w:tcPr>
          <w:p w14:paraId="7080BDD2" w14:textId="77777777" w:rsidR="0050403B" w:rsidRDefault="0050403B" w:rsidP="00D30581">
            <w:pPr>
              <w:pStyle w:val="BodyText"/>
              <w:spacing w:line="256" w:lineRule="auto"/>
              <w:rPr>
                <w:rFonts w:cs="Arial"/>
              </w:rPr>
            </w:pPr>
          </w:p>
        </w:tc>
      </w:tr>
      <w:tr w:rsidR="0050403B" w14:paraId="48505F49" w14:textId="77777777" w:rsidTr="00D30581">
        <w:tc>
          <w:tcPr>
            <w:tcW w:w="1795" w:type="dxa"/>
          </w:tcPr>
          <w:p w14:paraId="73F1BBC4" w14:textId="77777777" w:rsidR="0050403B" w:rsidRDefault="0050403B" w:rsidP="00D30581">
            <w:pPr>
              <w:pStyle w:val="BodyText"/>
              <w:spacing w:line="256" w:lineRule="auto"/>
              <w:rPr>
                <w:rFonts w:cs="Arial"/>
              </w:rPr>
            </w:pPr>
          </w:p>
        </w:tc>
        <w:tc>
          <w:tcPr>
            <w:tcW w:w="7834" w:type="dxa"/>
          </w:tcPr>
          <w:p w14:paraId="1BBD4D6F" w14:textId="77777777" w:rsidR="0050403B" w:rsidRDefault="0050403B" w:rsidP="00D30581">
            <w:pPr>
              <w:pStyle w:val="BodyText"/>
              <w:spacing w:line="256" w:lineRule="auto"/>
              <w:rPr>
                <w:rFonts w:cs="Arial"/>
              </w:rPr>
            </w:pPr>
          </w:p>
        </w:tc>
      </w:tr>
      <w:tr w:rsidR="0050403B" w14:paraId="61DADA36" w14:textId="77777777" w:rsidTr="00D30581">
        <w:tc>
          <w:tcPr>
            <w:tcW w:w="1795" w:type="dxa"/>
          </w:tcPr>
          <w:p w14:paraId="4E6443B1" w14:textId="77777777" w:rsidR="0050403B" w:rsidRDefault="0050403B" w:rsidP="00D30581">
            <w:pPr>
              <w:pStyle w:val="BodyText"/>
              <w:spacing w:line="256" w:lineRule="auto"/>
              <w:rPr>
                <w:rFonts w:cs="Arial"/>
              </w:rPr>
            </w:pPr>
          </w:p>
        </w:tc>
        <w:tc>
          <w:tcPr>
            <w:tcW w:w="7834" w:type="dxa"/>
          </w:tcPr>
          <w:p w14:paraId="7785C4C6" w14:textId="77777777" w:rsidR="0050403B" w:rsidRDefault="0050403B" w:rsidP="00D30581">
            <w:pPr>
              <w:pStyle w:val="BodyText"/>
              <w:spacing w:line="256" w:lineRule="auto"/>
              <w:rPr>
                <w:rFonts w:cs="Arial"/>
              </w:rPr>
            </w:pPr>
          </w:p>
        </w:tc>
      </w:tr>
      <w:tr w:rsidR="0050403B" w14:paraId="0E076C40" w14:textId="77777777" w:rsidTr="00D30581">
        <w:tc>
          <w:tcPr>
            <w:tcW w:w="1795" w:type="dxa"/>
          </w:tcPr>
          <w:p w14:paraId="23F2343E" w14:textId="77777777" w:rsidR="0050403B" w:rsidRDefault="0050403B" w:rsidP="00D30581">
            <w:pPr>
              <w:pStyle w:val="BodyText"/>
              <w:spacing w:line="256" w:lineRule="auto"/>
              <w:rPr>
                <w:rFonts w:cs="Arial"/>
              </w:rPr>
            </w:pPr>
          </w:p>
        </w:tc>
        <w:tc>
          <w:tcPr>
            <w:tcW w:w="7834" w:type="dxa"/>
          </w:tcPr>
          <w:p w14:paraId="1DCAF436" w14:textId="77777777" w:rsidR="0050403B" w:rsidRDefault="0050403B" w:rsidP="00D30581">
            <w:pPr>
              <w:pStyle w:val="BodyText"/>
              <w:spacing w:line="256" w:lineRule="auto"/>
              <w:rPr>
                <w:rFonts w:cs="Arial"/>
              </w:rPr>
            </w:pPr>
          </w:p>
        </w:tc>
      </w:tr>
      <w:tr w:rsidR="0050403B" w14:paraId="1E913F5E" w14:textId="77777777" w:rsidTr="00D30581">
        <w:tc>
          <w:tcPr>
            <w:tcW w:w="1795" w:type="dxa"/>
          </w:tcPr>
          <w:p w14:paraId="4DD0824E" w14:textId="77777777" w:rsidR="0050403B" w:rsidRDefault="0050403B" w:rsidP="00D30581">
            <w:pPr>
              <w:pStyle w:val="BodyText"/>
              <w:spacing w:line="256" w:lineRule="auto"/>
              <w:rPr>
                <w:rFonts w:cs="Arial"/>
              </w:rPr>
            </w:pPr>
          </w:p>
        </w:tc>
        <w:tc>
          <w:tcPr>
            <w:tcW w:w="7834" w:type="dxa"/>
          </w:tcPr>
          <w:p w14:paraId="5323C6DF" w14:textId="77777777" w:rsidR="0050403B" w:rsidRDefault="0050403B" w:rsidP="00D30581">
            <w:pPr>
              <w:pStyle w:val="BodyText"/>
              <w:spacing w:line="256" w:lineRule="auto"/>
              <w:rPr>
                <w:rFonts w:cs="Arial"/>
              </w:rPr>
            </w:pPr>
          </w:p>
        </w:tc>
      </w:tr>
      <w:tr w:rsidR="0050403B" w14:paraId="2733DBB9" w14:textId="77777777" w:rsidTr="00D30581">
        <w:tc>
          <w:tcPr>
            <w:tcW w:w="1795" w:type="dxa"/>
          </w:tcPr>
          <w:p w14:paraId="4538B145" w14:textId="77777777" w:rsidR="0050403B" w:rsidRDefault="0050403B" w:rsidP="00D30581">
            <w:pPr>
              <w:pStyle w:val="BodyText"/>
              <w:spacing w:line="256" w:lineRule="auto"/>
              <w:rPr>
                <w:rFonts w:cs="Arial"/>
              </w:rPr>
            </w:pPr>
          </w:p>
        </w:tc>
        <w:tc>
          <w:tcPr>
            <w:tcW w:w="7834" w:type="dxa"/>
          </w:tcPr>
          <w:p w14:paraId="2AF57FC8" w14:textId="77777777" w:rsidR="0050403B" w:rsidRDefault="0050403B" w:rsidP="00D30581">
            <w:pPr>
              <w:pStyle w:val="BodyText"/>
              <w:spacing w:line="256" w:lineRule="auto"/>
              <w:rPr>
                <w:rFonts w:cs="Arial"/>
              </w:rPr>
            </w:pPr>
          </w:p>
        </w:tc>
      </w:tr>
      <w:tr w:rsidR="0050403B" w14:paraId="0F1D7955" w14:textId="77777777" w:rsidTr="00D30581">
        <w:tc>
          <w:tcPr>
            <w:tcW w:w="1795" w:type="dxa"/>
          </w:tcPr>
          <w:p w14:paraId="0B81074D" w14:textId="77777777" w:rsidR="0050403B" w:rsidRDefault="0050403B" w:rsidP="00D30581">
            <w:pPr>
              <w:pStyle w:val="BodyText"/>
              <w:spacing w:line="256" w:lineRule="auto"/>
              <w:rPr>
                <w:rFonts w:cs="Arial"/>
              </w:rPr>
            </w:pPr>
          </w:p>
        </w:tc>
        <w:tc>
          <w:tcPr>
            <w:tcW w:w="7834" w:type="dxa"/>
          </w:tcPr>
          <w:p w14:paraId="7001C633" w14:textId="77777777" w:rsidR="0050403B" w:rsidRDefault="0050403B" w:rsidP="00D30581">
            <w:pPr>
              <w:pStyle w:val="BodyText"/>
              <w:spacing w:line="256" w:lineRule="auto"/>
              <w:rPr>
                <w:rFonts w:cs="Arial"/>
              </w:rPr>
            </w:pPr>
          </w:p>
        </w:tc>
      </w:tr>
      <w:tr w:rsidR="0050403B" w14:paraId="1275FCAB" w14:textId="77777777" w:rsidTr="00D30581">
        <w:tc>
          <w:tcPr>
            <w:tcW w:w="1795" w:type="dxa"/>
          </w:tcPr>
          <w:p w14:paraId="78C46D72" w14:textId="77777777" w:rsidR="0050403B" w:rsidRDefault="0050403B" w:rsidP="00D30581">
            <w:pPr>
              <w:pStyle w:val="BodyText"/>
              <w:spacing w:line="256" w:lineRule="auto"/>
              <w:rPr>
                <w:rFonts w:cs="Arial"/>
              </w:rPr>
            </w:pPr>
          </w:p>
        </w:tc>
        <w:tc>
          <w:tcPr>
            <w:tcW w:w="7834" w:type="dxa"/>
          </w:tcPr>
          <w:p w14:paraId="22A797C4" w14:textId="77777777" w:rsidR="0050403B" w:rsidRDefault="0050403B" w:rsidP="00D30581">
            <w:pPr>
              <w:pStyle w:val="BodyText"/>
              <w:spacing w:line="256" w:lineRule="auto"/>
              <w:rPr>
                <w:rFonts w:cs="Arial"/>
              </w:rPr>
            </w:pPr>
          </w:p>
        </w:tc>
      </w:tr>
      <w:tr w:rsidR="0050403B" w14:paraId="7633788D" w14:textId="77777777" w:rsidTr="00D30581">
        <w:tc>
          <w:tcPr>
            <w:tcW w:w="1795" w:type="dxa"/>
          </w:tcPr>
          <w:p w14:paraId="536AE404" w14:textId="77777777" w:rsidR="0050403B" w:rsidRDefault="0050403B" w:rsidP="00D30581">
            <w:pPr>
              <w:pStyle w:val="BodyText"/>
              <w:spacing w:line="256" w:lineRule="auto"/>
              <w:rPr>
                <w:rFonts w:cs="Arial"/>
              </w:rPr>
            </w:pPr>
          </w:p>
        </w:tc>
        <w:tc>
          <w:tcPr>
            <w:tcW w:w="7834" w:type="dxa"/>
          </w:tcPr>
          <w:p w14:paraId="46BA5AA0" w14:textId="77777777" w:rsidR="0050403B" w:rsidRDefault="0050403B" w:rsidP="00D30581">
            <w:pPr>
              <w:pStyle w:val="BodyText"/>
              <w:spacing w:line="256" w:lineRule="auto"/>
              <w:rPr>
                <w:rFonts w:cs="Arial"/>
              </w:rPr>
            </w:pPr>
          </w:p>
        </w:tc>
      </w:tr>
      <w:tr w:rsidR="0050403B" w14:paraId="16139D01" w14:textId="77777777" w:rsidTr="00D30581">
        <w:tc>
          <w:tcPr>
            <w:tcW w:w="1795" w:type="dxa"/>
          </w:tcPr>
          <w:p w14:paraId="2FA49D8E" w14:textId="77777777" w:rsidR="0050403B" w:rsidRDefault="0050403B" w:rsidP="00D30581">
            <w:pPr>
              <w:pStyle w:val="BodyText"/>
              <w:spacing w:line="256" w:lineRule="auto"/>
              <w:rPr>
                <w:rFonts w:cs="Arial"/>
              </w:rPr>
            </w:pPr>
          </w:p>
        </w:tc>
        <w:tc>
          <w:tcPr>
            <w:tcW w:w="7834" w:type="dxa"/>
          </w:tcPr>
          <w:p w14:paraId="593D0C74" w14:textId="77777777" w:rsidR="0050403B" w:rsidRDefault="0050403B" w:rsidP="00D30581">
            <w:pPr>
              <w:pStyle w:val="BodyText"/>
              <w:spacing w:line="256" w:lineRule="auto"/>
              <w:rPr>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In terrestrial network, the MCL (Maximum Coupling Loss) requirements is set as 164 dB and 159 dB for NB-IoT and eMTC,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lastRenderedPageBreak/>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D365C">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D365C">
            <w:pPr>
              <w:pStyle w:val="TAL"/>
              <w:rPr>
                <w:lang w:eastAsia="zh-CN"/>
              </w:rPr>
            </w:pPr>
          </w:p>
        </w:tc>
      </w:tr>
      <w:tr w:rsidR="00501FB6" w:rsidRPr="00071B66" w14:paraId="0E7AAE98"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D365C">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D365C">
            <w:pPr>
              <w:pStyle w:val="TAL"/>
              <w:rPr>
                <w:lang w:eastAsia="zh-CN"/>
              </w:rPr>
            </w:pPr>
          </w:p>
        </w:tc>
      </w:tr>
      <w:tr w:rsidR="00501FB6" w:rsidRPr="00071B66" w14:paraId="3273F97A" w14:textId="77777777" w:rsidTr="009D365C">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D365C">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D365C">
            <w:pPr>
              <w:pStyle w:val="TAL"/>
              <w:rPr>
                <w:lang w:eastAsia="en-GB"/>
              </w:rPr>
            </w:pPr>
          </w:p>
        </w:tc>
      </w:tr>
      <w:tr w:rsidR="00501FB6" w:rsidRPr="00071B66" w14:paraId="6B386316"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D365C">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D365C">
            <w:pPr>
              <w:pStyle w:val="TAL"/>
              <w:rPr>
                <w:lang w:eastAsia="zh-CN"/>
              </w:rPr>
            </w:pPr>
          </w:p>
        </w:tc>
      </w:tr>
      <w:tr w:rsidR="00501FB6" w:rsidRPr="00071B66" w14:paraId="430D3E5F"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D365C">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D365C">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D365C">
            <w:pPr>
              <w:pStyle w:val="TAL"/>
              <w:rPr>
                <w:lang w:eastAsia="en-GB"/>
              </w:rPr>
            </w:pPr>
          </w:p>
        </w:tc>
      </w:tr>
      <w:tr w:rsidR="00501FB6" w:rsidRPr="00071B66" w14:paraId="45DA7639"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D365C">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D365C">
            <w:pPr>
              <w:pStyle w:val="TAL"/>
              <w:rPr>
                <w:lang w:eastAsia="zh-CN"/>
              </w:rPr>
            </w:pPr>
          </w:p>
        </w:tc>
      </w:tr>
      <w:tr w:rsidR="00501FB6" w:rsidRPr="00071B66" w14:paraId="0DF71DD5"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D365C">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D365C">
            <w:pPr>
              <w:pStyle w:val="TAL"/>
              <w:rPr>
                <w:lang w:eastAsia="zh-CN"/>
              </w:rPr>
            </w:pPr>
          </w:p>
        </w:tc>
      </w:tr>
      <w:tr w:rsidR="00501FB6" w:rsidRPr="00071B66" w14:paraId="3B2A70BD"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D365C">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D365C">
            <w:pPr>
              <w:pStyle w:val="TAL"/>
              <w:rPr>
                <w:lang w:eastAsia="zh-CN"/>
              </w:rPr>
            </w:pPr>
          </w:p>
        </w:tc>
      </w:tr>
      <w:tr w:rsidR="00501FB6" w:rsidRPr="00071B66" w14:paraId="0EF0414B"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D365C">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D365C">
            <w:pPr>
              <w:pStyle w:val="TAL"/>
              <w:rPr>
                <w:lang w:eastAsia="zh-CN"/>
              </w:rPr>
            </w:pPr>
          </w:p>
        </w:tc>
      </w:tr>
      <w:tr w:rsidR="00501FB6" w:rsidRPr="00071B66" w14:paraId="4799E027"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D365C">
            <w:pPr>
              <w:pStyle w:val="TAL"/>
              <w:rPr>
                <w:lang w:eastAsia="zh-CN"/>
              </w:rPr>
            </w:pPr>
            <w:r w:rsidRPr="002873C6">
              <w:rPr>
                <w:lang w:eastAsia="en-GB"/>
              </w:rPr>
              <w:t>(6) Effective noise power</w:t>
            </w:r>
          </w:p>
          <w:p w14:paraId="1C202C9A" w14:textId="77777777" w:rsidR="00501FB6" w:rsidRPr="002873C6" w:rsidRDefault="00501FB6" w:rsidP="009D365C">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D365C">
            <w:pPr>
              <w:pStyle w:val="TAL"/>
              <w:rPr>
                <w:lang w:eastAsia="zh-CN"/>
              </w:rPr>
            </w:pPr>
          </w:p>
        </w:tc>
      </w:tr>
      <w:tr w:rsidR="00501FB6" w:rsidRPr="00071B66" w14:paraId="6411A15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D365C">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D365C">
            <w:pPr>
              <w:pStyle w:val="TAL"/>
              <w:rPr>
                <w:lang w:eastAsia="zh-CN"/>
              </w:rPr>
            </w:pPr>
          </w:p>
        </w:tc>
      </w:tr>
      <w:tr w:rsidR="00501FB6" w:rsidRPr="00071B66" w14:paraId="1AC048EC"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D365C">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D365C">
            <w:pPr>
              <w:pStyle w:val="TAL"/>
              <w:rPr>
                <w:lang w:eastAsia="zh-CN"/>
              </w:rPr>
            </w:pPr>
          </w:p>
        </w:tc>
      </w:tr>
      <w:tr w:rsidR="00501FB6" w:rsidRPr="00071B66" w14:paraId="73BCB23E"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D365C">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D365C">
            <w:pPr>
              <w:pStyle w:val="TAL"/>
              <w:rPr>
                <w:lang w:eastAsia="zh-CN"/>
              </w:rPr>
            </w:pPr>
          </w:p>
        </w:tc>
      </w:tr>
      <w:tr w:rsidR="00501FB6" w:rsidRPr="00071B66" w14:paraId="2910C533" w14:textId="77777777" w:rsidTr="009D365C">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D365C">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D365C">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D365C">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D365C">
        <w:tc>
          <w:tcPr>
            <w:tcW w:w="4121" w:type="dxa"/>
          </w:tcPr>
          <w:p w14:paraId="41FF310F" w14:textId="77777777" w:rsidR="00501FB6" w:rsidRDefault="00501FB6" w:rsidP="009D365C">
            <w:r>
              <w:rPr>
                <w:noProof/>
                <w:lang w:val="en-US"/>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9"/>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D365C">
            <w:pPr>
              <w:pStyle w:val="Caption"/>
            </w:pPr>
            <w:bookmarkStart w:id="7" w:name="_Ref13690"/>
            <w:r>
              <w:t xml:space="preserve">Figure </w:t>
            </w:r>
            <w:r>
              <w:fldChar w:fldCharType="begin"/>
            </w:r>
            <w:r>
              <w:instrText xml:space="preserve"> SEQ Figure \* ARABIC </w:instrText>
            </w:r>
            <w:r>
              <w:fldChar w:fldCharType="separate"/>
            </w:r>
            <w:r>
              <w:t>7</w:t>
            </w:r>
            <w:r>
              <w:fldChar w:fldCharType="end"/>
            </w:r>
            <w:bookmarkEnd w:id="7"/>
            <w:r>
              <w:t xml:space="preserve">  GEO_ubran</w:t>
            </w:r>
          </w:p>
        </w:tc>
        <w:tc>
          <w:tcPr>
            <w:tcW w:w="4175" w:type="dxa"/>
          </w:tcPr>
          <w:p w14:paraId="727E9174" w14:textId="77777777" w:rsidR="00501FB6" w:rsidRDefault="00501FB6" w:rsidP="009D365C">
            <w:r>
              <w:rPr>
                <w:noProof/>
                <w:lang w:val="en-US"/>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0"/>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D365C">
            <w:pPr>
              <w:pStyle w:val="Caption"/>
            </w:pPr>
            <w:bookmarkStart w:id="8" w:name="_Ref13697"/>
            <w:r>
              <w:t xml:space="preserve">Figure </w:t>
            </w:r>
            <w:r>
              <w:fldChar w:fldCharType="begin"/>
            </w:r>
            <w:r>
              <w:instrText xml:space="preserve"> SEQ Figure \* ARABIC </w:instrText>
            </w:r>
            <w:r>
              <w:fldChar w:fldCharType="separate"/>
            </w:r>
            <w:r>
              <w:t>8</w:t>
            </w:r>
            <w:r>
              <w:fldChar w:fldCharType="end"/>
            </w:r>
            <w:bookmarkEnd w:id="8"/>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4971BD57" w14:textId="77777777" w:rsidTr="00D30581">
        <w:tc>
          <w:tcPr>
            <w:tcW w:w="1795" w:type="dxa"/>
            <w:shd w:val="clear" w:color="auto" w:fill="FFC000"/>
          </w:tcPr>
          <w:p w14:paraId="4A1DE69F" w14:textId="77777777" w:rsidR="0050403B" w:rsidRDefault="0050403B" w:rsidP="00D30581">
            <w:pPr>
              <w:pStyle w:val="BodyText"/>
              <w:spacing w:line="256" w:lineRule="auto"/>
              <w:rPr>
                <w:rFonts w:cs="Arial"/>
              </w:rPr>
            </w:pPr>
            <w:r>
              <w:rPr>
                <w:rFonts w:cs="Arial"/>
              </w:rPr>
              <w:t>Company</w:t>
            </w:r>
          </w:p>
        </w:tc>
        <w:tc>
          <w:tcPr>
            <w:tcW w:w="7834" w:type="dxa"/>
            <w:shd w:val="clear" w:color="auto" w:fill="FFC000"/>
          </w:tcPr>
          <w:p w14:paraId="78254916" w14:textId="77777777" w:rsidR="0050403B" w:rsidRDefault="0050403B" w:rsidP="00D30581">
            <w:pPr>
              <w:pStyle w:val="BodyText"/>
              <w:spacing w:line="256" w:lineRule="auto"/>
              <w:rPr>
                <w:rFonts w:cs="Arial"/>
              </w:rPr>
            </w:pPr>
            <w:r>
              <w:rPr>
                <w:rFonts w:cs="Arial"/>
              </w:rPr>
              <w:t>Comments</w:t>
            </w:r>
          </w:p>
        </w:tc>
      </w:tr>
      <w:tr w:rsidR="0050403B" w14:paraId="67992F9F" w14:textId="77777777" w:rsidTr="00D30581">
        <w:tc>
          <w:tcPr>
            <w:tcW w:w="1795" w:type="dxa"/>
          </w:tcPr>
          <w:p w14:paraId="2B797F42" w14:textId="77777777" w:rsidR="0050403B" w:rsidRDefault="0050403B" w:rsidP="00D30581">
            <w:pPr>
              <w:pStyle w:val="BodyText"/>
              <w:spacing w:line="256" w:lineRule="auto"/>
              <w:rPr>
                <w:rFonts w:cs="Arial"/>
              </w:rPr>
            </w:pPr>
          </w:p>
        </w:tc>
        <w:tc>
          <w:tcPr>
            <w:tcW w:w="7834" w:type="dxa"/>
          </w:tcPr>
          <w:p w14:paraId="6F13D9D8" w14:textId="77777777" w:rsidR="0050403B" w:rsidRDefault="0050403B" w:rsidP="00D30581">
            <w:pPr>
              <w:pStyle w:val="BodyText"/>
              <w:spacing w:line="256" w:lineRule="auto"/>
              <w:rPr>
                <w:rFonts w:cs="Arial"/>
              </w:rPr>
            </w:pPr>
          </w:p>
        </w:tc>
      </w:tr>
      <w:tr w:rsidR="0050403B" w14:paraId="6F7B1CE6" w14:textId="77777777" w:rsidTr="00D30581">
        <w:tc>
          <w:tcPr>
            <w:tcW w:w="1795" w:type="dxa"/>
          </w:tcPr>
          <w:p w14:paraId="7AC4E636" w14:textId="77777777" w:rsidR="0050403B" w:rsidRDefault="0050403B" w:rsidP="00D30581">
            <w:pPr>
              <w:pStyle w:val="BodyText"/>
              <w:spacing w:line="256" w:lineRule="auto"/>
              <w:rPr>
                <w:rFonts w:cs="Arial"/>
              </w:rPr>
            </w:pPr>
          </w:p>
        </w:tc>
        <w:tc>
          <w:tcPr>
            <w:tcW w:w="7834" w:type="dxa"/>
          </w:tcPr>
          <w:p w14:paraId="6EC0A4B1" w14:textId="77777777" w:rsidR="0050403B" w:rsidRDefault="0050403B" w:rsidP="00D30581">
            <w:pPr>
              <w:pStyle w:val="BodyText"/>
              <w:spacing w:line="256" w:lineRule="auto"/>
              <w:rPr>
                <w:rFonts w:cs="Arial"/>
              </w:rPr>
            </w:pPr>
          </w:p>
        </w:tc>
      </w:tr>
      <w:tr w:rsidR="0050403B" w14:paraId="6C6FD85E" w14:textId="77777777" w:rsidTr="00D30581">
        <w:tc>
          <w:tcPr>
            <w:tcW w:w="1795" w:type="dxa"/>
          </w:tcPr>
          <w:p w14:paraId="61109478" w14:textId="77777777" w:rsidR="0050403B" w:rsidRDefault="0050403B" w:rsidP="00D30581">
            <w:pPr>
              <w:pStyle w:val="BodyText"/>
              <w:spacing w:line="256" w:lineRule="auto"/>
              <w:rPr>
                <w:rFonts w:cs="Arial"/>
              </w:rPr>
            </w:pPr>
          </w:p>
        </w:tc>
        <w:tc>
          <w:tcPr>
            <w:tcW w:w="7834" w:type="dxa"/>
          </w:tcPr>
          <w:p w14:paraId="541CB59B" w14:textId="77777777" w:rsidR="0050403B" w:rsidRDefault="0050403B" w:rsidP="00D30581">
            <w:pPr>
              <w:pStyle w:val="BodyText"/>
              <w:spacing w:line="256" w:lineRule="auto"/>
              <w:rPr>
                <w:rFonts w:cs="Arial"/>
              </w:rPr>
            </w:pPr>
          </w:p>
        </w:tc>
      </w:tr>
      <w:tr w:rsidR="0050403B" w14:paraId="57086DEE" w14:textId="77777777" w:rsidTr="00D30581">
        <w:tc>
          <w:tcPr>
            <w:tcW w:w="1795" w:type="dxa"/>
          </w:tcPr>
          <w:p w14:paraId="19CC7EEB" w14:textId="77777777" w:rsidR="0050403B" w:rsidRDefault="0050403B" w:rsidP="00D30581">
            <w:pPr>
              <w:pStyle w:val="BodyText"/>
              <w:spacing w:line="256" w:lineRule="auto"/>
              <w:rPr>
                <w:rFonts w:cs="Arial"/>
              </w:rPr>
            </w:pPr>
          </w:p>
        </w:tc>
        <w:tc>
          <w:tcPr>
            <w:tcW w:w="7834" w:type="dxa"/>
          </w:tcPr>
          <w:p w14:paraId="552DBF15" w14:textId="77777777" w:rsidR="0050403B" w:rsidRDefault="0050403B" w:rsidP="00D30581">
            <w:pPr>
              <w:pStyle w:val="BodyText"/>
              <w:spacing w:line="256" w:lineRule="auto"/>
              <w:rPr>
                <w:rFonts w:cs="Arial"/>
              </w:rPr>
            </w:pPr>
          </w:p>
        </w:tc>
      </w:tr>
      <w:tr w:rsidR="0050403B" w14:paraId="57C8D71E" w14:textId="77777777" w:rsidTr="00D30581">
        <w:tc>
          <w:tcPr>
            <w:tcW w:w="1795" w:type="dxa"/>
          </w:tcPr>
          <w:p w14:paraId="796E337A" w14:textId="77777777" w:rsidR="0050403B" w:rsidRDefault="0050403B" w:rsidP="00D30581">
            <w:pPr>
              <w:pStyle w:val="BodyText"/>
              <w:spacing w:line="256" w:lineRule="auto"/>
              <w:rPr>
                <w:rFonts w:cs="Arial"/>
              </w:rPr>
            </w:pPr>
          </w:p>
        </w:tc>
        <w:tc>
          <w:tcPr>
            <w:tcW w:w="7834" w:type="dxa"/>
          </w:tcPr>
          <w:p w14:paraId="13B9BE5E" w14:textId="77777777" w:rsidR="0050403B" w:rsidRDefault="0050403B" w:rsidP="00D30581">
            <w:pPr>
              <w:pStyle w:val="BodyText"/>
              <w:spacing w:line="256" w:lineRule="auto"/>
              <w:rPr>
                <w:rFonts w:cs="Arial"/>
              </w:rPr>
            </w:pPr>
          </w:p>
        </w:tc>
      </w:tr>
      <w:tr w:rsidR="0050403B" w14:paraId="59FD9E00" w14:textId="77777777" w:rsidTr="00D30581">
        <w:tc>
          <w:tcPr>
            <w:tcW w:w="1795" w:type="dxa"/>
          </w:tcPr>
          <w:p w14:paraId="4EF171DD" w14:textId="77777777" w:rsidR="0050403B" w:rsidRDefault="0050403B" w:rsidP="00D30581">
            <w:pPr>
              <w:pStyle w:val="BodyText"/>
              <w:spacing w:line="256" w:lineRule="auto"/>
              <w:rPr>
                <w:rFonts w:cs="Arial"/>
              </w:rPr>
            </w:pPr>
          </w:p>
        </w:tc>
        <w:tc>
          <w:tcPr>
            <w:tcW w:w="7834" w:type="dxa"/>
          </w:tcPr>
          <w:p w14:paraId="1FAA0E91" w14:textId="77777777" w:rsidR="0050403B" w:rsidRDefault="0050403B" w:rsidP="00D30581">
            <w:pPr>
              <w:pStyle w:val="BodyText"/>
              <w:spacing w:line="256" w:lineRule="auto"/>
              <w:rPr>
                <w:rFonts w:cs="Arial"/>
              </w:rPr>
            </w:pPr>
          </w:p>
        </w:tc>
      </w:tr>
      <w:tr w:rsidR="0050403B" w14:paraId="595C5E77" w14:textId="77777777" w:rsidTr="00D30581">
        <w:tc>
          <w:tcPr>
            <w:tcW w:w="1795" w:type="dxa"/>
          </w:tcPr>
          <w:p w14:paraId="71A35138" w14:textId="77777777" w:rsidR="0050403B" w:rsidRDefault="0050403B" w:rsidP="00D30581">
            <w:pPr>
              <w:pStyle w:val="BodyText"/>
              <w:spacing w:line="256" w:lineRule="auto"/>
              <w:rPr>
                <w:rFonts w:cs="Arial"/>
              </w:rPr>
            </w:pPr>
          </w:p>
        </w:tc>
        <w:tc>
          <w:tcPr>
            <w:tcW w:w="7834" w:type="dxa"/>
          </w:tcPr>
          <w:p w14:paraId="216FCEC7" w14:textId="77777777" w:rsidR="0050403B" w:rsidRDefault="0050403B" w:rsidP="00D30581">
            <w:pPr>
              <w:pStyle w:val="BodyText"/>
              <w:spacing w:line="256" w:lineRule="auto"/>
              <w:rPr>
                <w:rFonts w:cs="Arial"/>
              </w:rPr>
            </w:pPr>
          </w:p>
        </w:tc>
      </w:tr>
      <w:tr w:rsidR="0050403B" w14:paraId="12C735C0" w14:textId="77777777" w:rsidTr="00D30581">
        <w:tc>
          <w:tcPr>
            <w:tcW w:w="1795" w:type="dxa"/>
          </w:tcPr>
          <w:p w14:paraId="47A0E195" w14:textId="77777777" w:rsidR="0050403B" w:rsidRDefault="0050403B" w:rsidP="00D30581">
            <w:pPr>
              <w:pStyle w:val="BodyText"/>
              <w:spacing w:line="256" w:lineRule="auto"/>
              <w:rPr>
                <w:rFonts w:cs="Arial"/>
              </w:rPr>
            </w:pPr>
          </w:p>
        </w:tc>
        <w:tc>
          <w:tcPr>
            <w:tcW w:w="7834" w:type="dxa"/>
          </w:tcPr>
          <w:p w14:paraId="01FAEF9E" w14:textId="77777777" w:rsidR="0050403B" w:rsidRDefault="0050403B" w:rsidP="00D30581">
            <w:pPr>
              <w:pStyle w:val="BodyText"/>
              <w:spacing w:line="256" w:lineRule="auto"/>
              <w:rPr>
                <w:rFonts w:cs="Arial"/>
              </w:rPr>
            </w:pPr>
          </w:p>
        </w:tc>
      </w:tr>
      <w:tr w:rsidR="0050403B" w14:paraId="6C1E8C6A" w14:textId="77777777" w:rsidTr="00D30581">
        <w:tc>
          <w:tcPr>
            <w:tcW w:w="1795" w:type="dxa"/>
          </w:tcPr>
          <w:p w14:paraId="7F65C6D0" w14:textId="77777777" w:rsidR="0050403B" w:rsidRDefault="0050403B" w:rsidP="00D30581">
            <w:pPr>
              <w:pStyle w:val="BodyText"/>
              <w:spacing w:line="256" w:lineRule="auto"/>
              <w:rPr>
                <w:rFonts w:cs="Arial"/>
              </w:rPr>
            </w:pPr>
          </w:p>
        </w:tc>
        <w:tc>
          <w:tcPr>
            <w:tcW w:w="7834" w:type="dxa"/>
          </w:tcPr>
          <w:p w14:paraId="7E891604" w14:textId="77777777" w:rsidR="0050403B" w:rsidRDefault="0050403B" w:rsidP="00D30581">
            <w:pPr>
              <w:pStyle w:val="BodyText"/>
              <w:spacing w:line="256" w:lineRule="auto"/>
              <w:rPr>
                <w:rFonts w:cs="Arial"/>
              </w:rPr>
            </w:pPr>
          </w:p>
        </w:tc>
      </w:tr>
      <w:tr w:rsidR="0050403B" w14:paraId="384BBD4E" w14:textId="77777777" w:rsidTr="00D30581">
        <w:tc>
          <w:tcPr>
            <w:tcW w:w="1795" w:type="dxa"/>
          </w:tcPr>
          <w:p w14:paraId="6AFDAD2D" w14:textId="77777777" w:rsidR="0050403B" w:rsidRDefault="0050403B" w:rsidP="00D30581">
            <w:pPr>
              <w:pStyle w:val="BodyText"/>
              <w:spacing w:line="256" w:lineRule="auto"/>
              <w:rPr>
                <w:rFonts w:cs="Arial"/>
              </w:rPr>
            </w:pPr>
          </w:p>
        </w:tc>
        <w:tc>
          <w:tcPr>
            <w:tcW w:w="7834" w:type="dxa"/>
          </w:tcPr>
          <w:p w14:paraId="20E97C21" w14:textId="77777777" w:rsidR="0050403B" w:rsidRDefault="0050403B" w:rsidP="00D30581">
            <w:pPr>
              <w:pStyle w:val="BodyText"/>
              <w:spacing w:line="256" w:lineRule="auto"/>
              <w:rPr>
                <w:rFonts w:cs="Arial"/>
              </w:rPr>
            </w:pP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Asi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r w:rsidR="00875BDE">
        <w:rPr>
          <w:rFonts w:eastAsiaTheme="minorEastAsia"/>
          <w:b/>
          <w:i/>
          <w:highlight w:val="yellow"/>
          <w:lang w:eastAsia="zh-CN"/>
        </w:rPr>
        <w:t>9.4</w:t>
      </w:r>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1 satellite parameters (based on TR 38.821)</w:t>
      </w:r>
    </w:p>
    <w:p w14:paraId="4C459F19"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R1-2101146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C61CA3">
        <w:trPr>
          <w:jc w:val="center"/>
        </w:trPr>
        <w:tc>
          <w:tcPr>
            <w:tcW w:w="4211" w:type="dxa"/>
            <w:gridSpan w:val="2"/>
            <w:vAlign w:val="center"/>
          </w:tcPr>
          <w:p w14:paraId="49993BF6" w14:textId="77777777" w:rsidR="00AA10A4" w:rsidRPr="000F7B15" w:rsidRDefault="00AA10A4" w:rsidP="00C61CA3">
            <w:pPr>
              <w:rPr>
                <w:b/>
                <w:i/>
              </w:rPr>
            </w:pPr>
            <w:r w:rsidRPr="000F7B15">
              <w:rPr>
                <w:b/>
                <w:i/>
              </w:rPr>
              <w:t>Satellite orbit</w:t>
            </w:r>
          </w:p>
        </w:tc>
        <w:tc>
          <w:tcPr>
            <w:tcW w:w="1437" w:type="dxa"/>
            <w:vAlign w:val="center"/>
          </w:tcPr>
          <w:p w14:paraId="169E2529" w14:textId="77777777" w:rsidR="00AA10A4" w:rsidRPr="000F7B15" w:rsidRDefault="00AA10A4" w:rsidP="00C61CA3">
            <w:pPr>
              <w:rPr>
                <w:b/>
                <w:i/>
              </w:rPr>
            </w:pPr>
            <w:r w:rsidRPr="000F7B15">
              <w:rPr>
                <w:b/>
                <w:i/>
              </w:rPr>
              <w:t>GEO</w:t>
            </w:r>
          </w:p>
        </w:tc>
        <w:tc>
          <w:tcPr>
            <w:tcW w:w="1437" w:type="dxa"/>
            <w:vAlign w:val="center"/>
          </w:tcPr>
          <w:p w14:paraId="4C0452BC" w14:textId="77777777" w:rsidR="00AA10A4" w:rsidRPr="000F7B15" w:rsidRDefault="00AA10A4" w:rsidP="00C61CA3">
            <w:pPr>
              <w:rPr>
                <w:b/>
                <w:i/>
              </w:rPr>
            </w:pPr>
            <w:r w:rsidRPr="000F7B15">
              <w:rPr>
                <w:b/>
                <w:i/>
              </w:rPr>
              <w:t>LEO-1200</w:t>
            </w:r>
          </w:p>
        </w:tc>
        <w:tc>
          <w:tcPr>
            <w:tcW w:w="1437" w:type="dxa"/>
            <w:vAlign w:val="center"/>
          </w:tcPr>
          <w:p w14:paraId="5CE6E304" w14:textId="77777777" w:rsidR="00AA10A4" w:rsidRPr="000F7B15" w:rsidRDefault="00AA10A4" w:rsidP="00C61CA3">
            <w:pPr>
              <w:rPr>
                <w:b/>
                <w:i/>
              </w:rPr>
            </w:pPr>
            <w:r w:rsidRPr="000F7B15">
              <w:rPr>
                <w:b/>
                <w:i/>
              </w:rPr>
              <w:t>LEO-600</w:t>
            </w:r>
          </w:p>
        </w:tc>
      </w:tr>
      <w:tr w:rsidR="00AA10A4" w:rsidRPr="000F7B15" w14:paraId="7615F295" w14:textId="77777777" w:rsidTr="00C61CA3">
        <w:trPr>
          <w:jc w:val="center"/>
        </w:trPr>
        <w:tc>
          <w:tcPr>
            <w:tcW w:w="4211" w:type="dxa"/>
            <w:gridSpan w:val="2"/>
            <w:vAlign w:val="center"/>
          </w:tcPr>
          <w:p w14:paraId="35250BCD" w14:textId="77777777" w:rsidR="00AA10A4" w:rsidRPr="000F7B15" w:rsidRDefault="00AA10A4" w:rsidP="00C61CA3">
            <w:pPr>
              <w:rPr>
                <w:b/>
                <w:i/>
              </w:rPr>
            </w:pPr>
            <w:r w:rsidRPr="000F7B15">
              <w:rPr>
                <w:b/>
                <w:i/>
              </w:rPr>
              <w:t>Satellite altitude</w:t>
            </w:r>
          </w:p>
        </w:tc>
        <w:tc>
          <w:tcPr>
            <w:tcW w:w="1437" w:type="dxa"/>
            <w:vAlign w:val="center"/>
          </w:tcPr>
          <w:p w14:paraId="69429761" w14:textId="77777777" w:rsidR="00AA10A4" w:rsidRPr="000F7B15" w:rsidRDefault="00AA10A4" w:rsidP="00C61CA3">
            <w:pPr>
              <w:rPr>
                <w:b/>
                <w:i/>
              </w:rPr>
            </w:pPr>
            <w:r w:rsidRPr="000F7B15">
              <w:rPr>
                <w:b/>
                <w:i/>
              </w:rPr>
              <w:t>35786 km</w:t>
            </w:r>
          </w:p>
        </w:tc>
        <w:tc>
          <w:tcPr>
            <w:tcW w:w="1437" w:type="dxa"/>
            <w:vAlign w:val="center"/>
          </w:tcPr>
          <w:p w14:paraId="3AB65142" w14:textId="77777777" w:rsidR="00AA10A4" w:rsidRPr="000F7B15" w:rsidRDefault="00AA10A4" w:rsidP="00C61CA3">
            <w:pPr>
              <w:rPr>
                <w:b/>
                <w:i/>
              </w:rPr>
            </w:pPr>
            <w:r w:rsidRPr="000F7B15">
              <w:rPr>
                <w:b/>
                <w:i/>
              </w:rPr>
              <w:t>1200 km</w:t>
            </w:r>
          </w:p>
        </w:tc>
        <w:tc>
          <w:tcPr>
            <w:tcW w:w="1437" w:type="dxa"/>
            <w:vAlign w:val="center"/>
          </w:tcPr>
          <w:p w14:paraId="7F5835D4" w14:textId="77777777" w:rsidR="00AA10A4" w:rsidRPr="000F7B15" w:rsidRDefault="00AA10A4" w:rsidP="00C61CA3">
            <w:pPr>
              <w:rPr>
                <w:b/>
                <w:i/>
              </w:rPr>
            </w:pPr>
            <w:r w:rsidRPr="000F7B15">
              <w:rPr>
                <w:b/>
                <w:i/>
              </w:rPr>
              <w:t>600 km</w:t>
            </w:r>
          </w:p>
        </w:tc>
      </w:tr>
      <w:tr w:rsidR="00AA10A4" w:rsidRPr="000F7B15" w14:paraId="3FA584EF" w14:textId="77777777" w:rsidTr="00C61CA3">
        <w:trPr>
          <w:trHeight w:val="372"/>
          <w:jc w:val="center"/>
        </w:trPr>
        <w:tc>
          <w:tcPr>
            <w:tcW w:w="4211" w:type="dxa"/>
            <w:gridSpan w:val="2"/>
            <w:vAlign w:val="center"/>
          </w:tcPr>
          <w:p w14:paraId="430845F9" w14:textId="1C3D7711" w:rsidR="00AA10A4" w:rsidRPr="000F7B15" w:rsidRDefault="00AA10A4" w:rsidP="00AA10A4">
            <w:pPr>
              <w:rPr>
                <w:b/>
                <w:i/>
              </w:rPr>
            </w:pPr>
            <w:r w:rsidRPr="000F7B15">
              <w:rPr>
                <w:b/>
                <w:i/>
                <w:color w:val="FF0000"/>
              </w:rPr>
              <w:t xml:space="preserve">Beam edge </w:t>
            </w:r>
            <w:r w:rsidRPr="000F7B15">
              <w:rPr>
                <w:rFonts w:hint="eastAsia"/>
                <w:b/>
                <w:i/>
                <w:color w:val="FF0000"/>
              </w:rPr>
              <w:t>elevation</w:t>
            </w:r>
            <w:r w:rsidRPr="000F7B15">
              <w:rPr>
                <w:rFonts w:hint="eastAsia"/>
                <w:b/>
                <w:i/>
              </w:rPr>
              <w:t xml:space="preserve"> </w:t>
            </w:r>
          </w:p>
        </w:tc>
        <w:tc>
          <w:tcPr>
            <w:tcW w:w="1437" w:type="dxa"/>
          </w:tcPr>
          <w:p w14:paraId="2F714770" w14:textId="77777777" w:rsidR="00AA10A4" w:rsidRPr="000F7B15" w:rsidRDefault="00AA10A4" w:rsidP="00C61CA3">
            <w:pPr>
              <w:rPr>
                <w:b/>
                <w:i/>
              </w:rPr>
            </w:pPr>
            <w:r w:rsidRPr="000F7B15">
              <w:rPr>
                <w:b/>
                <w:i/>
              </w:rPr>
              <w:t>12.5 deg</w:t>
            </w:r>
          </w:p>
        </w:tc>
        <w:tc>
          <w:tcPr>
            <w:tcW w:w="1437" w:type="dxa"/>
          </w:tcPr>
          <w:p w14:paraId="27CE4F55" w14:textId="77777777" w:rsidR="00AA10A4" w:rsidRPr="000F7B15" w:rsidRDefault="00AA10A4" w:rsidP="00C61CA3">
            <w:pPr>
              <w:rPr>
                <w:b/>
                <w:i/>
              </w:rPr>
            </w:pPr>
            <w:r w:rsidRPr="000F7B15">
              <w:rPr>
                <w:b/>
                <w:i/>
              </w:rPr>
              <w:t>30</w:t>
            </w:r>
          </w:p>
        </w:tc>
        <w:tc>
          <w:tcPr>
            <w:tcW w:w="1437" w:type="dxa"/>
          </w:tcPr>
          <w:p w14:paraId="30C639D6" w14:textId="77777777" w:rsidR="00AA10A4" w:rsidRPr="000F7B15" w:rsidRDefault="00AA10A4" w:rsidP="00C61CA3">
            <w:pPr>
              <w:rPr>
                <w:b/>
                <w:i/>
              </w:rPr>
            </w:pPr>
            <w:r w:rsidRPr="000F7B15">
              <w:rPr>
                <w:rFonts w:hint="eastAsia"/>
                <w:b/>
                <w:i/>
              </w:rPr>
              <w:t>30 deg</w:t>
            </w:r>
          </w:p>
        </w:tc>
      </w:tr>
      <w:tr w:rsidR="00AA10A4" w:rsidRPr="000F7B15" w14:paraId="5B1A0135" w14:textId="77777777" w:rsidTr="00C61CA3">
        <w:trPr>
          <w:trHeight w:val="372"/>
          <w:jc w:val="center"/>
        </w:trPr>
        <w:tc>
          <w:tcPr>
            <w:tcW w:w="8522" w:type="dxa"/>
            <w:gridSpan w:val="5"/>
            <w:vAlign w:val="center"/>
          </w:tcPr>
          <w:p w14:paraId="4BE99586" w14:textId="77777777" w:rsidR="00AA10A4" w:rsidRPr="000F7B15" w:rsidRDefault="00AA10A4" w:rsidP="00C61CA3">
            <w:pPr>
              <w:rPr>
                <w:b/>
                <w:i/>
              </w:rPr>
            </w:pPr>
            <w:r w:rsidRPr="000F7B15">
              <w:rPr>
                <w:b/>
                <w:i/>
              </w:rPr>
              <w:t>Payload characteristics for DL transmissions</w:t>
            </w:r>
          </w:p>
        </w:tc>
      </w:tr>
      <w:tr w:rsidR="00AA10A4" w:rsidRPr="000F7B15" w14:paraId="0BE56829" w14:textId="77777777" w:rsidTr="00C61CA3">
        <w:trPr>
          <w:jc w:val="center"/>
        </w:trPr>
        <w:tc>
          <w:tcPr>
            <w:tcW w:w="3121" w:type="dxa"/>
            <w:vAlign w:val="center"/>
          </w:tcPr>
          <w:p w14:paraId="0FAD2BB1" w14:textId="77777777" w:rsidR="00AA10A4" w:rsidRPr="000F7B15" w:rsidRDefault="00AA10A4" w:rsidP="00C61CA3">
            <w:pPr>
              <w:rPr>
                <w:b/>
                <w:i/>
              </w:rPr>
            </w:pPr>
            <w:r w:rsidRPr="000F7B15">
              <w:rPr>
                <w:b/>
                <w:i/>
              </w:rPr>
              <w:t>Equivalent satellite antenna aperture (Note 1)</w:t>
            </w:r>
          </w:p>
        </w:tc>
        <w:tc>
          <w:tcPr>
            <w:tcW w:w="1090" w:type="dxa"/>
            <w:vMerge w:val="restart"/>
            <w:vAlign w:val="center"/>
          </w:tcPr>
          <w:p w14:paraId="0171EC30" w14:textId="77777777" w:rsidR="00AA10A4" w:rsidRPr="000F7B15" w:rsidRDefault="00AA10A4" w:rsidP="00C61CA3">
            <w:pPr>
              <w:rPr>
                <w:b/>
                <w:i/>
              </w:rPr>
            </w:pPr>
            <w:r w:rsidRPr="000F7B15">
              <w:rPr>
                <w:b/>
                <w:i/>
              </w:rPr>
              <w:t>S-band</w:t>
            </w:r>
          </w:p>
          <w:p w14:paraId="0A7E9A79" w14:textId="77777777" w:rsidR="00AA10A4" w:rsidRPr="000F7B15" w:rsidRDefault="00AA10A4" w:rsidP="00C61CA3">
            <w:pPr>
              <w:rPr>
                <w:b/>
                <w:i/>
              </w:rPr>
            </w:pPr>
            <w:r w:rsidRPr="000F7B15">
              <w:rPr>
                <w:b/>
                <w:i/>
              </w:rPr>
              <w:t>(i.e. 2 GHz)</w:t>
            </w:r>
          </w:p>
        </w:tc>
        <w:tc>
          <w:tcPr>
            <w:tcW w:w="1437" w:type="dxa"/>
            <w:vAlign w:val="center"/>
          </w:tcPr>
          <w:p w14:paraId="35F8CDCE" w14:textId="77777777" w:rsidR="00AA10A4" w:rsidRPr="000F7B15" w:rsidRDefault="00AA10A4" w:rsidP="00C61CA3">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C61CA3">
            <w:pPr>
              <w:rPr>
                <w:b/>
                <w:i/>
              </w:rPr>
            </w:pPr>
            <w:r w:rsidRPr="000F7B15">
              <w:rPr>
                <w:rFonts w:hint="eastAsia"/>
                <w:b/>
                <w:i/>
              </w:rPr>
              <w:t>0.4</w:t>
            </w:r>
            <w:r w:rsidRPr="000F7B15">
              <w:rPr>
                <w:b/>
                <w:i/>
              </w:rPr>
              <w:t>m</w:t>
            </w:r>
          </w:p>
        </w:tc>
        <w:tc>
          <w:tcPr>
            <w:tcW w:w="1437" w:type="dxa"/>
            <w:vAlign w:val="center"/>
          </w:tcPr>
          <w:p w14:paraId="77517AEA" w14:textId="77777777" w:rsidR="00AA10A4" w:rsidRPr="000F7B15" w:rsidRDefault="00AA10A4" w:rsidP="00C61CA3">
            <w:pPr>
              <w:rPr>
                <w:b/>
                <w:i/>
              </w:rPr>
            </w:pPr>
            <w:r w:rsidRPr="000F7B15">
              <w:rPr>
                <w:rFonts w:hint="eastAsia"/>
                <w:b/>
                <w:i/>
              </w:rPr>
              <w:t>0.4</w:t>
            </w:r>
            <w:r w:rsidRPr="000F7B15">
              <w:rPr>
                <w:b/>
                <w:i/>
              </w:rPr>
              <w:t xml:space="preserve"> m</w:t>
            </w:r>
          </w:p>
        </w:tc>
      </w:tr>
      <w:tr w:rsidR="00AA10A4" w:rsidRPr="000F7B15" w14:paraId="4CA365B2" w14:textId="77777777" w:rsidTr="00C61CA3">
        <w:trPr>
          <w:jc w:val="center"/>
        </w:trPr>
        <w:tc>
          <w:tcPr>
            <w:tcW w:w="3121" w:type="dxa"/>
            <w:vAlign w:val="center"/>
          </w:tcPr>
          <w:p w14:paraId="7AD997D3" w14:textId="77777777" w:rsidR="00AA10A4" w:rsidRPr="000F7B15" w:rsidRDefault="00AA10A4" w:rsidP="00C61CA3">
            <w:pPr>
              <w:rPr>
                <w:b/>
                <w:i/>
              </w:rPr>
            </w:pPr>
            <w:r w:rsidRPr="000F7B15">
              <w:rPr>
                <w:b/>
                <w:i/>
              </w:rPr>
              <w:t>Satellite EIRP density</w:t>
            </w:r>
          </w:p>
        </w:tc>
        <w:tc>
          <w:tcPr>
            <w:tcW w:w="1090" w:type="dxa"/>
            <w:vMerge/>
          </w:tcPr>
          <w:p w14:paraId="08A27CEE" w14:textId="77777777" w:rsidR="00AA10A4" w:rsidRPr="000F7B15" w:rsidRDefault="00AA10A4" w:rsidP="00C61CA3">
            <w:pPr>
              <w:rPr>
                <w:b/>
                <w:i/>
              </w:rPr>
            </w:pPr>
          </w:p>
        </w:tc>
        <w:tc>
          <w:tcPr>
            <w:tcW w:w="1437" w:type="dxa"/>
            <w:vAlign w:val="center"/>
          </w:tcPr>
          <w:p w14:paraId="5C9F72ED" w14:textId="77777777" w:rsidR="00AA10A4" w:rsidRPr="000F7B15" w:rsidRDefault="00AA10A4" w:rsidP="00C61CA3">
            <w:pPr>
              <w:rPr>
                <w:b/>
                <w:i/>
              </w:rPr>
            </w:pPr>
            <w:r w:rsidRPr="000F7B15">
              <w:rPr>
                <w:b/>
                <w:i/>
              </w:rPr>
              <w:t>59</w:t>
            </w:r>
            <w:r w:rsidRPr="000F7B15">
              <w:rPr>
                <w:rFonts w:hint="eastAsia"/>
                <w:b/>
                <w:i/>
              </w:rPr>
              <w:t>.8</w:t>
            </w:r>
            <w:r w:rsidRPr="000F7B15">
              <w:rPr>
                <w:b/>
                <w:i/>
              </w:rPr>
              <w:t xml:space="preserve"> dBW/MHz</w:t>
            </w:r>
          </w:p>
        </w:tc>
        <w:tc>
          <w:tcPr>
            <w:tcW w:w="1437" w:type="dxa"/>
            <w:vAlign w:val="center"/>
          </w:tcPr>
          <w:p w14:paraId="6C08DE56" w14:textId="77777777" w:rsidR="00AA10A4" w:rsidRPr="000F7B15" w:rsidRDefault="00AA10A4" w:rsidP="00C61CA3">
            <w:pPr>
              <w:rPr>
                <w:b/>
                <w:i/>
              </w:rPr>
            </w:pPr>
            <w:r w:rsidRPr="000F7B15">
              <w:rPr>
                <w:rFonts w:hint="eastAsia"/>
                <w:b/>
                <w:i/>
              </w:rPr>
              <w:t>33.7</w:t>
            </w:r>
            <w:r w:rsidRPr="000F7B15">
              <w:rPr>
                <w:b/>
                <w:i/>
              </w:rPr>
              <w:t xml:space="preserve"> dBW/MHz</w:t>
            </w:r>
          </w:p>
        </w:tc>
        <w:tc>
          <w:tcPr>
            <w:tcW w:w="1437" w:type="dxa"/>
            <w:vAlign w:val="center"/>
          </w:tcPr>
          <w:p w14:paraId="2B468D31" w14:textId="77777777" w:rsidR="00AA10A4" w:rsidRPr="000F7B15" w:rsidRDefault="00AA10A4" w:rsidP="00C61CA3">
            <w:pPr>
              <w:rPr>
                <w:b/>
                <w:i/>
              </w:rPr>
            </w:pPr>
            <w:r w:rsidRPr="000F7B15">
              <w:rPr>
                <w:rFonts w:hint="eastAsia"/>
                <w:b/>
                <w:i/>
              </w:rPr>
              <w:t>28.3</w:t>
            </w:r>
            <w:r w:rsidRPr="000F7B15">
              <w:rPr>
                <w:b/>
                <w:i/>
              </w:rPr>
              <w:t xml:space="preserve"> dBW/MHz</w:t>
            </w:r>
          </w:p>
        </w:tc>
      </w:tr>
      <w:tr w:rsidR="00AA10A4" w:rsidRPr="000F7B15" w14:paraId="26D4FBDA" w14:textId="77777777" w:rsidTr="00C61CA3">
        <w:trPr>
          <w:jc w:val="center"/>
        </w:trPr>
        <w:tc>
          <w:tcPr>
            <w:tcW w:w="3121" w:type="dxa"/>
            <w:vAlign w:val="center"/>
          </w:tcPr>
          <w:p w14:paraId="33812FC9" w14:textId="77777777" w:rsidR="00AA10A4" w:rsidRPr="000F7B15" w:rsidRDefault="00AA10A4" w:rsidP="00C61CA3">
            <w:pPr>
              <w:rPr>
                <w:b/>
                <w:i/>
              </w:rPr>
            </w:pPr>
            <w:r w:rsidRPr="000F7B15">
              <w:rPr>
                <w:b/>
                <w:i/>
              </w:rPr>
              <w:t>Satellite Tx max Gain</w:t>
            </w:r>
          </w:p>
        </w:tc>
        <w:tc>
          <w:tcPr>
            <w:tcW w:w="1090" w:type="dxa"/>
            <w:vMerge/>
          </w:tcPr>
          <w:p w14:paraId="7E130EDA" w14:textId="77777777" w:rsidR="00AA10A4" w:rsidRPr="000F7B15" w:rsidRDefault="00AA10A4" w:rsidP="00C61CA3">
            <w:pPr>
              <w:rPr>
                <w:b/>
                <w:i/>
              </w:rPr>
            </w:pPr>
          </w:p>
        </w:tc>
        <w:tc>
          <w:tcPr>
            <w:tcW w:w="1437" w:type="dxa"/>
            <w:vAlign w:val="center"/>
          </w:tcPr>
          <w:p w14:paraId="3C2DC36C" w14:textId="77777777" w:rsidR="00AA10A4" w:rsidRPr="000F7B15" w:rsidRDefault="00AA10A4" w:rsidP="00C61CA3">
            <w:pPr>
              <w:rPr>
                <w:b/>
                <w:i/>
              </w:rPr>
            </w:pPr>
            <w:r w:rsidRPr="000F7B15">
              <w:rPr>
                <w:rFonts w:hint="eastAsia"/>
                <w:b/>
                <w:i/>
              </w:rPr>
              <w:t>45.7</w:t>
            </w:r>
            <w:r w:rsidRPr="000F7B15">
              <w:rPr>
                <w:b/>
                <w:i/>
              </w:rPr>
              <w:t xml:space="preserve"> dBi</w:t>
            </w:r>
          </w:p>
        </w:tc>
        <w:tc>
          <w:tcPr>
            <w:tcW w:w="1437" w:type="dxa"/>
            <w:vAlign w:val="center"/>
          </w:tcPr>
          <w:p w14:paraId="42AED462" w14:textId="77777777" w:rsidR="00AA10A4" w:rsidRPr="000F7B15" w:rsidRDefault="00AA10A4" w:rsidP="00C61CA3">
            <w:pPr>
              <w:rPr>
                <w:b/>
                <w:i/>
              </w:rPr>
            </w:pPr>
            <w:r w:rsidRPr="000F7B15">
              <w:rPr>
                <w:rFonts w:hint="eastAsia"/>
                <w:b/>
                <w:i/>
              </w:rPr>
              <w:t>16.2</w:t>
            </w:r>
            <w:r w:rsidRPr="000F7B15">
              <w:rPr>
                <w:b/>
                <w:i/>
              </w:rPr>
              <w:t xml:space="preserve"> dBi</w:t>
            </w:r>
          </w:p>
        </w:tc>
        <w:tc>
          <w:tcPr>
            <w:tcW w:w="1437" w:type="dxa"/>
            <w:vAlign w:val="center"/>
          </w:tcPr>
          <w:p w14:paraId="48169EC0" w14:textId="77777777" w:rsidR="00AA10A4" w:rsidRPr="000F7B15" w:rsidRDefault="00AA10A4" w:rsidP="00C61CA3">
            <w:pPr>
              <w:rPr>
                <w:b/>
                <w:i/>
              </w:rPr>
            </w:pPr>
            <w:r w:rsidRPr="000F7B15">
              <w:rPr>
                <w:rFonts w:hint="eastAsia"/>
                <w:b/>
                <w:i/>
              </w:rPr>
              <w:t>16.2</w:t>
            </w:r>
            <w:r w:rsidRPr="000F7B15">
              <w:rPr>
                <w:b/>
                <w:i/>
              </w:rPr>
              <w:t xml:space="preserve"> dBi</w:t>
            </w:r>
          </w:p>
        </w:tc>
      </w:tr>
      <w:tr w:rsidR="00AA10A4" w:rsidRPr="000F7B15" w14:paraId="4614AFEA" w14:textId="77777777" w:rsidTr="00C61CA3">
        <w:trPr>
          <w:jc w:val="center"/>
        </w:trPr>
        <w:tc>
          <w:tcPr>
            <w:tcW w:w="3121" w:type="dxa"/>
            <w:vAlign w:val="center"/>
          </w:tcPr>
          <w:p w14:paraId="53CE9457" w14:textId="77777777" w:rsidR="00AA10A4" w:rsidRPr="000F7B15" w:rsidRDefault="00AA10A4" w:rsidP="00C61CA3">
            <w:pPr>
              <w:rPr>
                <w:b/>
                <w:i/>
              </w:rPr>
            </w:pPr>
            <w:r w:rsidRPr="000F7B15">
              <w:rPr>
                <w:b/>
                <w:i/>
              </w:rPr>
              <w:t>3dB beam width</w:t>
            </w:r>
          </w:p>
        </w:tc>
        <w:tc>
          <w:tcPr>
            <w:tcW w:w="1090" w:type="dxa"/>
            <w:vMerge/>
          </w:tcPr>
          <w:p w14:paraId="371DA5A6" w14:textId="77777777" w:rsidR="00AA10A4" w:rsidRPr="000F7B15" w:rsidRDefault="00AA10A4" w:rsidP="00C61CA3">
            <w:pPr>
              <w:rPr>
                <w:b/>
                <w:i/>
              </w:rPr>
            </w:pPr>
          </w:p>
        </w:tc>
        <w:tc>
          <w:tcPr>
            <w:tcW w:w="1437" w:type="dxa"/>
            <w:vAlign w:val="center"/>
          </w:tcPr>
          <w:p w14:paraId="07689532" w14:textId="77777777" w:rsidR="00AA10A4" w:rsidRPr="000F7B15" w:rsidRDefault="00AA10A4" w:rsidP="00C61CA3">
            <w:pPr>
              <w:rPr>
                <w:b/>
                <w:i/>
              </w:rPr>
            </w:pPr>
            <w:r w:rsidRPr="000F7B15">
              <w:rPr>
                <w:b/>
                <w:i/>
              </w:rPr>
              <w:t>0.</w:t>
            </w:r>
            <w:r w:rsidRPr="000F7B15">
              <w:rPr>
                <w:rFonts w:hint="eastAsia"/>
                <w:b/>
                <w:i/>
              </w:rPr>
              <w:t>7353</w:t>
            </w:r>
            <w:r w:rsidRPr="000F7B15">
              <w:rPr>
                <w:b/>
                <w:i/>
              </w:rPr>
              <w:t xml:space="preserve"> deg</w:t>
            </w:r>
          </w:p>
        </w:tc>
        <w:tc>
          <w:tcPr>
            <w:tcW w:w="1437" w:type="dxa"/>
            <w:vAlign w:val="center"/>
          </w:tcPr>
          <w:p w14:paraId="52304201" w14:textId="77777777" w:rsidR="00AA10A4" w:rsidRPr="000F7B15" w:rsidRDefault="00AA10A4" w:rsidP="00C61CA3">
            <w:pPr>
              <w:rPr>
                <w:b/>
                <w:i/>
              </w:rPr>
            </w:pPr>
            <w:r w:rsidRPr="000F7B15">
              <w:rPr>
                <w:rFonts w:hint="eastAsia"/>
                <w:b/>
                <w:i/>
              </w:rPr>
              <w:t>22.1</w:t>
            </w:r>
            <w:r w:rsidRPr="000F7B15">
              <w:rPr>
                <w:b/>
                <w:i/>
              </w:rPr>
              <w:t xml:space="preserve"> deg</w:t>
            </w:r>
          </w:p>
        </w:tc>
        <w:tc>
          <w:tcPr>
            <w:tcW w:w="1437" w:type="dxa"/>
            <w:vAlign w:val="center"/>
          </w:tcPr>
          <w:p w14:paraId="20610BF6" w14:textId="77777777" w:rsidR="00AA10A4" w:rsidRPr="000F7B15" w:rsidRDefault="00AA10A4" w:rsidP="00C61CA3">
            <w:pPr>
              <w:rPr>
                <w:b/>
                <w:i/>
              </w:rPr>
            </w:pPr>
            <w:r w:rsidRPr="000F7B15">
              <w:rPr>
                <w:rFonts w:hint="eastAsia"/>
                <w:b/>
                <w:i/>
              </w:rPr>
              <w:t>22.1</w:t>
            </w:r>
            <w:r w:rsidRPr="000F7B15">
              <w:rPr>
                <w:b/>
                <w:i/>
              </w:rPr>
              <w:t xml:space="preserve"> deg</w:t>
            </w:r>
          </w:p>
        </w:tc>
      </w:tr>
      <w:tr w:rsidR="00AA10A4" w:rsidRPr="000F7B15" w14:paraId="5AA0B651" w14:textId="77777777" w:rsidTr="00C61CA3">
        <w:trPr>
          <w:jc w:val="center"/>
        </w:trPr>
        <w:tc>
          <w:tcPr>
            <w:tcW w:w="3121" w:type="dxa"/>
            <w:vAlign w:val="center"/>
          </w:tcPr>
          <w:p w14:paraId="22AD6BCB" w14:textId="77777777" w:rsidR="00AA10A4" w:rsidRPr="000F7B15" w:rsidRDefault="00AA10A4" w:rsidP="00C61CA3">
            <w:pPr>
              <w:rPr>
                <w:b/>
                <w:i/>
              </w:rPr>
            </w:pPr>
            <w:r w:rsidRPr="000F7B15">
              <w:rPr>
                <w:b/>
                <w:i/>
              </w:rPr>
              <w:t>Satellite beam diameter (Note 2)</w:t>
            </w:r>
          </w:p>
        </w:tc>
        <w:tc>
          <w:tcPr>
            <w:tcW w:w="1090" w:type="dxa"/>
            <w:vMerge/>
          </w:tcPr>
          <w:p w14:paraId="720CFEAB" w14:textId="77777777" w:rsidR="00AA10A4" w:rsidRPr="000F7B15" w:rsidRDefault="00AA10A4" w:rsidP="00C61CA3">
            <w:pPr>
              <w:rPr>
                <w:b/>
                <w:i/>
              </w:rPr>
            </w:pPr>
          </w:p>
        </w:tc>
        <w:tc>
          <w:tcPr>
            <w:tcW w:w="1437" w:type="dxa"/>
            <w:vAlign w:val="center"/>
          </w:tcPr>
          <w:p w14:paraId="7792E19A" w14:textId="77777777" w:rsidR="00AA10A4" w:rsidRPr="000F7B15" w:rsidRDefault="00AA10A4" w:rsidP="00C61CA3">
            <w:pPr>
              <w:rPr>
                <w:b/>
                <w:i/>
              </w:rPr>
            </w:pPr>
            <w:r w:rsidRPr="000F7B15">
              <w:rPr>
                <w:rFonts w:hint="eastAsia"/>
                <w:b/>
                <w:i/>
              </w:rPr>
              <w:t>459</w:t>
            </w:r>
            <w:r w:rsidRPr="000F7B15">
              <w:rPr>
                <w:b/>
                <w:i/>
              </w:rPr>
              <w:t>km</w:t>
            </w:r>
          </w:p>
        </w:tc>
        <w:tc>
          <w:tcPr>
            <w:tcW w:w="1437" w:type="dxa"/>
            <w:vAlign w:val="center"/>
          </w:tcPr>
          <w:p w14:paraId="58E5B7F8" w14:textId="77777777" w:rsidR="00AA10A4" w:rsidRPr="000F7B15" w:rsidRDefault="00AA10A4" w:rsidP="00C61CA3">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C61CA3">
            <w:pPr>
              <w:rPr>
                <w:b/>
                <w:i/>
              </w:rPr>
            </w:pPr>
            <w:r w:rsidRPr="000F7B15">
              <w:rPr>
                <w:rFonts w:hint="eastAsia"/>
                <w:b/>
                <w:i/>
              </w:rPr>
              <w:t>234</w:t>
            </w:r>
            <w:r w:rsidRPr="000F7B15">
              <w:rPr>
                <w:b/>
                <w:i/>
              </w:rPr>
              <w:t xml:space="preserve"> km</w:t>
            </w:r>
          </w:p>
        </w:tc>
      </w:tr>
      <w:tr w:rsidR="00AA10A4" w:rsidRPr="000F7B15" w14:paraId="4311BCAF" w14:textId="77777777" w:rsidTr="00C61CA3">
        <w:trPr>
          <w:jc w:val="center"/>
        </w:trPr>
        <w:tc>
          <w:tcPr>
            <w:tcW w:w="8522" w:type="dxa"/>
            <w:gridSpan w:val="5"/>
            <w:vAlign w:val="center"/>
          </w:tcPr>
          <w:p w14:paraId="627F2740" w14:textId="77777777" w:rsidR="00AA10A4" w:rsidRPr="000F7B15" w:rsidRDefault="00AA10A4" w:rsidP="00C61CA3">
            <w:pPr>
              <w:rPr>
                <w:b/>
                <w:i/>
              </w:rPr>
            </w:pPr>
            <w:r w:rsidRPr="000F7B15">
              <w:rPr>
                <w:b/>
                <w:i/>
              </w:rPr>
              <w:t>Payload characteristics for UL transmissions</w:t>
            </w:r>
          </w:p>
        </w:tc>
      </w:tr>
      <w:tr w:rsidR="00AA10A4" w:rsidRPr="000F7B15" w14:paraId="0FB2C9B7" w14:textId="77777777" w:rsidTr="00C61CA3">
        <w:trPr>
          <w:jc w:val="center"/>
        </w:trPr>
        <w:tc>
          <w:tcPr>
            <w:tcW w:w="3121" w:type="dxa"/>
            <w:vAlign w:val="center"/>
          </w:tcPr>
          <w:p w14:paraId="1A8057C6" w14:textId="77777777" w:rsidR="00AA10A4" w:rsidRPr="000F7B15" w:rsidRDefault="00AA10A4" w:rsidP="00C61CA3">
            <w:pPr>
              <w:rPr>
                <w:b/>
                <w:i/>
              </w:rPr>
            </w:pPr>
            <w:r w:rsidRPr="000F7B15">
              <w:rPr>
                <w:b/>
                <w:i/>
              </w:rPr>
              <w:t>Equivalent satellite antenna aperture (Note1)</w:t>
            </w:r>
          </w:p>
        </w:tc>
        <w:tc>
          <w:tcPr>
            <w:tcW w:w="1090" w:type="dxa"/>
            <w:vMerge w:val="restart"/>
            <w:vAlign w:val="center"/>
          </w:tcPr>
          <w:p w14:paraId="48B4045F" w14:textId="77777777" w:rsidR="00AA10A4" w:rsidRPr="000F7B15" w:rsidRDefault="00AA10A4" w:rsidP="00C61CA3">
            <w:pPr>
              <w:rPr>
                <w:b/>
                <w:i/>
              </w:rPr>
            </w:pPr>
            <w:r w:rsidRPr="000F7B15">
              <w:rPr>
                <w:b/>
                <w:i/>
              </w:rPr>
              <w:t xml:space="preserve">S-band </w:t>
            </w:r>
          </w:p>
          <w:p w14:paraId="3D188841" w14:textId="77777777" w:rsidR="00AA10A4" w:rsidRPr="000F7B15" w:rsidRDefault="00AA10A4" w:rsidP="00C61CA3">
            <w:pPr>
              <w:rPr>
                <w:b/>
                <w:i/>
              </w:rPr>
            </w:pPr>
            <w:r w:rsidRPr="000F7B15">
              <w:rPr>
                <w:b/>
                <w:i/>
              </w:rPr>
              <w:t>(i.e. 2 GHz)</w:t>
            </w:r>
          </w:p>
        </w:tc>
        <w:tc>
          <w:tcPr>
            <w:tcW w:w="1437" w:type="dxa"/>
            <w:vAlign w:val="center"/>
          </w:tcPr>
          <w:p w14:paraId="712FF3FC" w14:textId="77777777" w:rsidR="00AA10A4" w:rsidRPr="000F7B15" w:rsidRDefault="00AA10A4" w:rsidP="00C61CA3">
            <w:pPr>
              <w:rPr>
                <w:b/>
                <w:i/>
              </w:rPr>
            </w:pPr>
            <w:r w:rsidRPr="000F7B15">
              <w:rPr>
                <w:rFonts w:hint="eastAsia"/>
                <w:b/>
                <w:i/>
              </w:rPr>
              <w:t>1</w:t>
            </w:r>
            <w:r w:rsidRPr="000F7B15">
              <w:rPr>
                <w:b/>
                <w:i/>
              </w:rPr>
              <w:t>2 m</w:t>
            </w:r>
          </w:p>
        </w:tc>
        <w:tc>
          <w:tcPr>
            <w:tcW w:w="1437" w:type="dxa"/>
            <w:vAlign w:val="center"/>
          </w:tcPr>
          <w:p w14:paraId="57B00A99" w14:textId="77777777" w:rsidR="00AA10A4" w:rsidRPr="000F7B15" w:rsidRDefault="00AA10A4" w:rsidP="00C61CA3">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C61CA3">
            <w:pPr>
              <w:rPr>
                <w:b/>
                <w:i/>
              </w:rPr>
            </w:pPr>
            <w:r w:rsidRPr="000F7B15">
              <w:rPr>
                <w:rFonts w:hint="eastAsia"/>
                <w:b/>
                <w:i/>
              </w:rPr>
              <w:t>0.4</w:t>
            </w:r>
            <w:r w:rsidRPr="000F7B15">
              <w:rPr>
                <w:b/>
                <w:i/>
              </w:rPr>
              <w:t xml:space="preserve"> m</w:t>
            </w:r>
          </w:p>
        </w:tc>
      </w:tr>
      <w:tr w:rsidR="00AA10A4" w:rsidRPr="000F7B15" w14:paraId="33E96881" w14:textId="77777777" w:rsidTr="00C61CA3">
        <w:trPr>
          <w:jc w:val="center"/>
        </w:trPr>
        <w:tc>
          <w:tcPr>
            <w:tcW w:w="3121" w:type="dxa"/>
            <w:vAlign w:val="center"/>
          </w:tcPr>
          <w:p w14:paraId="58F13AD6" w14:textId="77777777" w:rsidR="00AA10A4" w:rsidRPr="000F7B15" w:rsidRDefault="00AA10A4" w:rsidP="00C61CA3">
            <w:pPr>
              <w:rPr>
                <w:b/>
                <w:i/>
              </w:rPr>
            </w:pPr>
            <w:r w:rsidRPr="000F7B15">
              <w:rPr>
                <w:b/>
                <w:i/>
              </w:rPr>
              <w:t>G/T</w:t>
            </w:r>
          </w:p>
        </w:tc>
        <w:tc>
          <w:tcPr>
            <w:tcW w:w="1090" w:type="dxa"/>
            <w:vMerge/>
          </w:tcPr>
          <w:p w14:paraId="396AF6EA" w14:textId="77777777" w:rsidR="00AA10A4" w:rsidRPr="000F7B15" w:rsidRDefault="00AA10A4" w:rsidP="00C61CA3">
            <w:pPr>
              <w:rPr>
                <w:b/>
                <w:i/>
              </w:rPr>
            </w:pPr>
          </w:p>
        </w:tc>
        <w:tc>
          <w:tcPr>
            <w:tcW w:w="1437" w:type="dxa"/>
            <w:vAlign w:val="center"/>
          </w:tcPr>
          <w:p w14:paraId="578F3A4F" w14:textId="77777777" w:rsidR="00AA10A4" w:rsidRPr="000F7B15" w:rsidRDefault="00AA10A4" w:rsidP="00C61CA3">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2CBCD798" w14:textId="77777777" w:rsidR="00AA10A4" w:rsidRPr="000F7B15" w:rsidRDefault="00AA10A4" w:rsidP="00C61CA3">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C61CA3">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C61CA3">
        <w:trPr>
          <w:jc w:val="center"/>
        </w:trPr>
        <w:tc>
          <w:tcPr>
            <w:tcW w:w="3121" w:type="dxa"/>
            <w:vAlign w:val="center"/>
          </w:tcPr>
          <w:p w14:paraId="1C5AE146" w14:textId="77777777" w:rsidR="00AA10A4" w:rsidRPr="000F7B15" w:rsidRDefault="00AA10A4" w:rsidP="00C61CA3">
            <w:pPr>
              <w:rPr>
                <w:b/>
                <w:i/>
              </w:rPr>
            </w:pPr>
            <w:r w:rsidRPr="000F7B15">
              <w:rPr>
                <w:b/>
                <w:i/>
              </w:rPr>
              <w:t>Satellite Rx max Gain</w:t>
            </w:r>
          </w:p>
        </w:tc>
        <w:tc>
          <w:tcPr>
            <w:tcW w:w="1090" w:type="dxa"/>
            <w:vMerge/>
          </w:tcPr>
          <w:p w14:paraId="65810E0C" w14:textId="77777777" w:rsidR="00AA10A4" w:rsidRPr="000F7B15" w:rsidRDefault="00AA10A4" w:rsidP="00C61CA3">
            <w:pPr>
              <w:rPr>
                <w:b/>
                <w:i/>
              </w:rPr>
            </w:pPr>
          </w:p>
        </w:tc>
        <w:tc>
          <w:tcPr>
            <w:tcW w:w="1437" w:type="dxa"/>
            <w:vAlign w:val="center"/>
          </w:tcPr>
          <w:p w14:paraId="2304D779" w14:textId="77777777" w:rsidR="00AA10A4" w:rsidRPr="000F7B15" w:rsidRDefault="00AA10A4" w:rsidP="00C61CA3">
            <w:pPr>
              <w:rPr>
                <w:b/>
                <w:i/>
              </w:rPr>
            </w:pPr>
            <w:r w:rsidRPr="000F7B15">
              <w:rPr>
                <w:rFonts w:hint="eastAsia"/>
                <w:b/>
                <w:i/>
              </w:rPr>
              <w:t>45.7</w:t>
            </w:r>
            <w:r w:rsidRPr="000F7B15">
              <w:rPr>
                <w:b/>
                <w:i/>
              </w:rPr>
              <w:t xml:space="preserve"> dBi</w:t>
            </w:r>
          </w:p>
        </w:tc>
        <w:tc>
          <w:tcPr>
            <w:tcW w:w="1437" w:type="dxa"/>
            <w:vAlign w:val="center"/>
          </w:tcPr>
          <w:p w14:paraId="0BCB1321" w14:textId="77777777" w:rsidR="00AA10A4" w:rsidRPr="000F7B15" w:rsidRDefault="00AA10A4" w:rsidP="00C61CA3">
            <w:pPr>
              <w:rPr>
                <w:b/>
                <w:i/>
              </w:rPr>
            </w:pPr>
            <w:r w:rsidRPr="000F7B15">
              <w:rPr>
                <w:rFonts w:hint="eastAsia"/>
                <w:b/>
                <w:i/>
              </w:rPr>
              <w:t>16.2</w:t>
            </w:r>
            <w:r w:rsidRPr="000F7B15">
              <w:rPr>
                <w:b/>
                <w:i/>
              </w:rPr>
              <w:t xml:space="preserve"> dBi</w:t>
            </w:r>
          </w:p>
        </w:tc>
        <w:tc>
          <w:tcPr>
            <w:tcW w:w="1437" w:type="dxa"/>
            <w:vAlign w:val="center"/>
          </w:tcPr>
          <w:p w14:paraId="08A9881F" w14:textId="77777777" w:rsidR="00AA10A4" w:rsidRPr="000F7B15" w:rsidRDefault="00AA10A4" w:rsidP="00C61CA3">
            <w:pPr>
              <w:rPr>
                <w:b/>
                <w:i/>
              </w:rPr>
            </w:pPr>
            <w:r w:rsidRPr="000F7B15">
              <w:rPr>
                <w:rFonts w:hint="eastAsia"/>
                <w:b/>
                <w:i/>
              </w:rPr>
              <w:t>16.2</w:t>
            </w:r>
            <w:r w:rsidRPr="000F7B15">
              <w:rPr>
                <w:b/>
                <w:i/>
              </w:rPr>
              <w:t xml:space="preserve"> dBi</w:t>
            </w:r>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 xml:space="preserve">Note 2: </w:t>
      </w:r>
      <w:r w:rsidRPr="000F7B15">
        <w:rPr>
          <w:rFonts w:eastAsiaTheme="minorEastAsia"/>
          <w:b/>
          <w:i/>
          <w:lang w:eastAsia="zh-CN"/>
        </w:rPr>
        <w:t>Satellite beam diameter is at Nadir point</w:t>
      </w:r>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r w:rsidRPr="000F7B15">
        <w:rPr>
          <w:rFonts w:eastAsiaTheme="minorEastAsia"/>
          <w:b/>
          <w:i/>
          <w:lang w:eastAsia="zh-CN"/>
        </w:rPr>
        <w:t>Sateliot, Gatehouse</w:t>
      </w:r>
      <w:r w:rsidR="00A020DC" w:rsidRPr="000F7B15">
        <w:rPr>
          <w:rFonts w:eastAsiaTheme="minorEastAsia"/>
          <w:b/>
          <w:i/>
          <w:lang w:eastAsia="zh-CN"/>
        </w:rPr>
        <w:t xml:space="preserve"> R1-2101019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C61CA3">
        <w:trPr>
          <w:jc w:val="center"/>
        </w:trPr>
        <w:tc>
          <w:tcPr>
            <w:tcW w:w="5255" w:type="dxa"/>
            <w:gridSpan w:val="2"/>
            <w:vAlign w:val="center"/>
          </w:tcPr>
          <w:p w14:paraId="184C765D" w14:textId="77777777" w:rsidR="00AA10A4" w:rsidRPr="000F7B15" w:rsidRDefault="00AA10A4" w:rsidP="00C61CA3">
            <w:pPr>
              <w:rPr>
                <w:b/>
                <w:i/>
              </w:rPr>
            </w:pPr>
            <w:r w:rsidRPr="000F7B15">
              <w:rPr>
                <w:b/>
                <w:i/>
              </w:rPr>
              <w:lastRenderedPageBreak/>
              <w:t>Satellite orbit</w:t>
            </w:r>
          </w:p>
        </w:tc>
        <w:tc>
          <w:tcPr>
            <w:tcW w:w="1675" w:type="dxa"/>
            <w:vAlign w:val="center"/>
          </w:tcPr>
          <w:p w14:paraId="48659E98" w14:textId="77777777" w:rsidR="00AA10A4" w:rsidRPr="000F7B15" w:rsidRDefault="00AA10A4" w:rsidP="00C61CA3">
            <w:pPr>
              <w:rPr>
                <w:b/>
                <w:i/>
              </w:rPr>
            </w:pPr>
            <w:r w:rsidRPr="000F7B15">
              <w:rPr>
                <w:b/>
                <w:i/>
              </w:rPr>
              <w:t>LEO-600</w:t>
            </w:r>
          </w:p>
        </w:tc>
      </w:tr>
      <w:tr w:rsidR="00AA10A4" w:rsidRPr="000F7B15" w14:paraId="0FEAF36B" w14:textId="77777777" w:rsidTr="00C61CA3">
        <w:trPr>
          <w:jc w:val="center"/>
        </w:trPr>
        <w:tc>
          <w:tcPr>
            <w:tcW w:w="5255" w:type="dxa"/>
            <w:gridSpan w:val="2"/>
            <w:vAlign w:val="center"/>
          </w:tcPr>
          <w:p w14:paraId="02A171A4" w14:textId="77777777" w:rsidR="00AA10A4" w:rsidRPr="000F7B15" w:rsidRDefault="00AA10A4" w:rsidP="00C61CA3">
            <w:pPr>
              <w:rPr>
                <w:b/>
                <w:i/>
              </w:rPr>
            </w:pPr>
            <w:r w:rsidRPr="000F7B15">
              <w:rPr>
                <w:b/>
                <w:i/>
              </w:rPr>
              <w:t>Satellite altitude</w:t>
            </w:r>
          </w:p>
        </w:tc>
        <w:tc>
          <w:tcPr>
            <w:tcW w:w="1675" w:type="dxa"/>
            <w:vAlign w:val="center"/>
          </w:tcPr>
          <w:p w14:paraId="0691515C" w14:textId="77777777" w:rsidR="00AA10A4" w:rsidRPr="000F7B15" w:rsidRDefault="00AA10A4" w:rsidP="00C61CA3">
            <w:pPr>
              <w:rPr>
                <w:b/>
                <w:i/>
              </w:rPr>
            </w:pPr>
            <w:r w:rsidRPr="000F7B15">
              <w:rPr>
                <w:b/>
                <w:i/>
              </w:rPr>
              <w:t>600 km</w:t>
            </w:r>
          </w:p>
        </w:tc>
      </w:tr>
      <w:tr w:rsidR="00AA10A4" w:rsidRPr="000F7B15" w14:paraId="1095D1FE" w14:textId="77777777" w:rsidTr="00C61CA3">
        <w:trPr>
          <w:trHeight w:val="372"/>
          <w:jc w:val="center"/>
        </w:trPr>
        <w:tc>
          <w:tcPr>
            <w:tcW w:w="5255" w:type="dxa"/>
            <w:gridSpan w:val="2"/>
            <w:vAlign w:val="center"/>
          </w:tcPr>
          <w:p w14:paraId="438914CC" w14:textId="5BB7A28B" w:rsidR="00AA10A4" w:rsidRPr="000F7B15" w:rsidRDefault="00AA10A4" w:rsidP="00C61CA3">
            <w:pPr>
              <w:rPr>
                <w:b/>
                <w:i/>
              </w:rPr>
            </w:pPr>
            <w:r w:rsidRPr="000F7B15">
              <w:rPr>
                <w:b/>
                <w:i/>
              </w:rPr>
              <w:t>B</w:t>
            </w:r>
            <w:r w:rsidRPr="000F7B15">
              <w:rPr>
                <w:rFonts w:hint="eastAsia"/>
                <w:b/>
                <w:i/>
              </w:rPr>
              <w:t xml:space="preserve">eam elevation </w:t>
            </w:r>
            <w:r w:rsidRPr="000F7B15">
              <w:rPr>
                <w:b/>
                <w:i/>
              </w:rPr>
              <w:t>elevation</w:t>
            </w:r>
          </w:p>
        </w:tc>
        <w:tc>
          <w:tcPr>
            <w:tcW w:w="1675" w:type="dxa"/>
          </w:tcPr>
          <w:p w14:paraId="7CEFA4E5" w14:textId="6AAA14A3" w:rsidR="00AA10A4" w:rsidRPr="000F7B15" w:rsidRDefault="00AA10A4" w:rsidP="00C61CA3">
            <w:pPr>
              <w:rPr>
                <w:b/>
                <w:i/>
                <w:highlight w:val="yellow"/>
              </w:rPr>
            </w:pPr>
            <w:r w:rsidRPr="000F7B15">
              <w:rPr>
                <w:rFonts w:hint="eastAsia"/>
                <w:b/>
                <w:i/>
              </w:rPr>
              <w:t>30</w:t>
            </w:r>
            <w:r w:rsidRPr="000F7B15">
              <w:rPr>
                <w:rFonts w:hint="eastAsia"/>
                <w:b/>
                <w:i/>
              </w:rPr>
              <w:t xml:space="preserve"> deg</w:t>
            </w:r>
          </w:p>
        </w:tc>
      </w:tr>
      <w:tr w:rsidR="00AA10A4" w:rsidRPr="000F7B15" w14:paraId="13FF187F" w14:textId="77777777" w:rsidTr="00C61CA3">
        <w:trPr>
          <w:trHeight w:val="372"/>
          <w:jc w:val="center"/>
        </w:trPr>
        <w:tc>
          <w:tcPr>
            <w:tcW w:w="6930" w:type="dxa"/>
            <w:gridSpan w:val="3"/>
            <w:vAlign w:val="center"/>
          </w:tcPr>
          <w:p w14:paraId="5EA5A6DB" w14:textId="77777777" w:rsidR="00AA10A4" w:rsidRPr="000F7B15" w:rsidRDefault="00AA10A4" w:rsidP="00C61CA3">
            <w:pPr>
              <w:rPr>
                <w:b/>
                <w:i/>
              </w:rPr>
            </w:pPr>
            <w:r w:rsidRPr="000F7B15">
              <w:rPr>
                <w:b/>
                <w:i/>
              </w:rPr>
              <w:t>Payload characteristics for DL transmissions</w:t>
            </w:r>
          </w:p>
        </w:tc>
      </w:tr>
      <w:tr w:rsidR="00AA10A4" w:rsidRPr="000F7B15" w14:paraId="66AA369B" w14:textId="77777777" w:rsidTr="00C61CA3">
        <w:trPr>
          <w:jc w:val="center"/>
        </w:trPr>
        <w:tc>
          <w:tcPr>
            <w:tcW w:w="4036" w:type="dxa"/>
            <w:vAlign w:val="center"/>
          </w:tcPr>
          <w:p w14:paraId="3C5B7A0F" w14:textId="77777777" w:rsidR="00AA10A4" w:rsidRPr="000F7B15" w:rsidRDefault="00AA10A4" w:rsidP="00C61CA3">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C61CA3">
            <w:pPr>
              <w:rPr>
                <w:b/>
                <w:i/>
              </w:rPr>
            </w:pPr>
            <w:r w:rsidRPr="000F7B15">
              <w:rPr>
                <w:b/>
                <w:i/>
              </w:rPr>
              <w:t>S-band</w:t>
            </w:r>
          </w:p>
          <w:p w14:paraId="1CC7CEBE" w14:textId="77777777" w:rsidR="00AA10A4" w:rsidRPr="000F7B15" w:rsidRDefault="00AA10A4" w:rsidP="00C61CA3">
            <w:pPr>
              <w:rPr>
                <w:b/>
                <w:i/>
              </w:rPr>
            </w:pPr>
            <w:r w:rsidRPr="000F7B15">
              <w:rPr>
                <w:b/>
                <w:i/>
              </w:rPr>
              <w:t>(i.e. 2 GHz)</w:t>
            </w:r>
          </w:p>
        </w:tc>
        <w:tc>
          <w:tcPr>
            <w:tcW w:w="1675" w:type="dxa"/>
            <w:vAlign w:val="center"/>
          </w:tcPr>
          <w:p w14:paraId="3853171B" w14:textId="77777777" w:rsidR="00AA10A4" w:rsidRPr="000F7B15" w:rsidRDefault="00AA10A4" w:rsidP="00C61CA3">
            <w:pPr>
              <w:rPr>
                <w:b/>
                <w:i/>
              </w:rPr>
            </w:pPr>
            <w:r w:rsidRPr="000F7B15">
              <w:rPr>
                <w:b/>
                <w:i/>
              </w:rPr>
              <w:t>0.154 m</w:t>
            </w:r>
          </w:p>
        </w:tc>
      </w:tr>
      <w:tr w:rsidR="00AA10A4" w:rsidRPr="000F7B15" w14:paraId="70E524C6" w14:textId="77777777" w:rsidTr="00C61CA3">
        <w:trPr>
          <w:jc w:val="center"/>
        </w:trPr>
        <w:tc>
          <w:tcPr>
            <w:tcW w:w="4036" w:type="dxa"/>
            <w:vAlign w:val="center"/>
          </w:tcPr>
          <w:p w14:paraId="2AFDC34F" w14:textId="77777777" w:rsidR="00AA10A4" w:rsidRPr="000F7B15" w:rsidRDefault="00AA10A4" w:rsidP="00C61CA3">
            <w:pPr>
              <w:rPr>
                <w:b/>
                <w:i/>
              </w:rPr>
            </w:pPr>
            <w:r w:rsidRPr="000F7B15">
              <w:rPr>
                <w:b/>
                <w:i/>
              </w:rPr>
              <w:t>Satellite EIRP density</w:t>
            </w:r>
          </w:p>
        </w:tc>
        <w:tc>
          <w:tcPr>
            <w:tcW w:w="1219" w:type="dxa"/>
            <w:vMerge/>
          </w:tcPr>
          <w:p w14:paraId="643A6FDC" w14:textId="77777777" w:rsidR="00AA10A4" w:rsidRPr="000F7B15" w:rsidRDefault="00AA10A4" w:rsidP="00C61CA3">
            <w:pPr>
              <w:rPr>
                <w:b/>
                <w:i/>
              </w:rPr>
            </w:pPr>
          </w:p>
        </w:tc>
        <w:tc>
          <w:tcPr>
            <w:tcW w:w="1675" w:type="dxa"/>
          </w:tcPr>
          <w:p w14:paraId="30E233AC" w14:textId="77777777" w:rsidR="00AA10A4" w:rsidRPr="000F7B15" w:rsidRDefault="00AA10A4" w:rsidP="00C61CA3">
            <w:pPr>
              <w:rPr>
                <w:b/>
                <w:bCs/>
                <w:i/>
              </w:rPr>
            </w:pPr>
            <w:r w:rsidRPr="000F7B15">
              <w:rPr>
                <w:b/>
                <w:bCs/>
                <w:i/>
              </w:rPr>
              <w:t>21.45 dBW/MHz</w:t>
            </w:r>
          </w:p>
        </w:tc>
      </w:tr>
      <w:tr w:rsidR="00AA10A4" w:rsidRPr="000F7B15" w14:paraId="78BF340F" w14:textId="77777777" w:rsidTr="00C61CA3">
        <w:trPr>
          <w:jc w:val="center"/>
        </w:trPr>
        <w:tc>
          <w:tcPr>
            <w:tcW w:w="4036" w:type="dxa"/>
            <w:vAlign w:val="center"/>
          </w:tcPr>
          <w:p w14:paraId="21C0B139" w14:textId="77777777" w:rsidR="00AA10A4" w:rsidRPr="000F7B15" w:rsidRDefault="00AA10A4" w:rsidP="00C61CA3">
            <w:pPr>
              <w:rPr>
                <w:b/>
                <w:i/>
              </w:rPr>
            </w:pPr>
            <w:r w:rsidRPr="000F7B15">
              <w:rPr>
                <w:b/>
                <w:i/>
              </w:rPr>
              <w:t>Satellite Tx max Gain</w:t>
            </w:r>
          </w:p>
        </w:tc>
        <w:tc>
          <w:tcPr>
            <w:tcW w:w="1219" w:type="dxa"/>
            <w:vMerge/>
          </w:tcPr>
          <w:p w14:paraId="785BA3C2" w14:textId="77777777" w:rsidR="00AA10A4" w:rsidRPr="000F7B15" w:rsidRDefault="00AA10A4" w:rsidP="00C61CA3">
            <w:pPr>
              <w:rPr>
                <w:b/>
                <w:i/>
              </w:rPr>
            </w:pPr>
          </w:p>
        </w:tc>
        <w:tc>
          <w:tcPr>
            <w:tcW w:w="1675" w:type="dxa"/>
          </w:tcPr>
          <w:p w14:paraId="6EA63153" w14:textId="77777777" w:rsidR="00AA10A4" w:rsidRPr="000F7B15" w:rsidRDefault="00AA10A4" w:rsidP="00C61CA3">
            <w:pPr>
              <w:rPr>
                <w:b/>
                <w:bCs/>
                <w:i/>
              </w:rPr>
            </w:pPr>
            <w:r w:rsidRPr="000F7B15">
              <w:rPr>
                <w:b/>
                <w:bCs/>
                <w:i/>
              </w:rPr>
              <w:t>11 dBi</w:t>
            </w:r>
          </w:p>
        </w:tc>
      </w:tr>
      <w:tr w:rsidR="00AA10A4" w:rsidRPr="000F7B15" w14:paraId="42AF6B7B" w14:textId="77777777" w:rsidTr="00C61CA3">
        <w:trPr>
          <w:jc w:val="center"/>
        </w:trPr>
        <w:tc>
          <w:tcPr>
            <w:tcW w:w="4036" w:type="dxa"/>
            <w:vAlign w:val="center"/>
          </w:tcPr>
          <w:p w14:paraId="5A3D2DD7" w14:textId="77777777" w:rsidR="00AA10A4" w:rsidRPr="000F7B15" w:rsidRDefault="00AA10A4" w:rsidP="00C61CA3">
            <w:pPr>
              <w:rPr>
                <w:b/>
                <w:i/>
              </w:rPr>
            </w:pPr>
            <w:r w:rsidRPr="000F7B15">
              <w:rPr>
                <w:b/>
                <w:i/>
              </w:rPr>
              <w:t>3dB beam width</w:t>
            </w:r>
          </w:p>
        </w:tc>
        <w:tc>
          <w:tcPr>
            <w:tcW w:w="1219" w:type="dxa"/>
            <w:vMerge/>
          </w:tcPr>
          <w:p w14:paraId="78147DD3" w14:textId="77777777" w:rsidR="00AA10A4" w:rsidRPr="000F7B15" w:rsidRDefault="00AA10A4" w:rsidP="00C61CA3">
            <w:pPr>
              <w:rPr>
                <w:b/>
                <w:i/>
              </w:rPr>
            </w:pPr>
          </w:p>
        </w:tc>
        <w:tc>
          <w:tcPr>
            <w:tcW w:w="1675" w:type="dxa"/>
          </w:tcPr>
          <w:p w14:paraId="452BF6FF" w14:textId="77777777" w:rsidR="00AA10A4" w:rsidRPr="000F7B15" w:rsidRDefault="00AA10A4" w:rsidP="00C61CA3">
            <w:pPr>
              <w:rPr>
                <w:b/>
                <w:bCs/>
                <w:i/>
              </w:rPr>
            </w:pPr>
            <w:r w:rsidRPr="000F7B15">
              <w:rPr>
                <w:b/>
                <w:bCs/>
                <w:i/>
              </w:rPr>
              <w:t>60º</w:t>
            </w:r>
          </w:p>
        </w:tc>
      </w:tr>
      <w:tr w:rsidR="00AA10A4" w:rsidRPr="000F7B15" w14:paraId="1A1EEF8B" w14:textId="77777777" w:rsidTr="00C61CA3">
        <w:trPr>
          <w:jc w:val="center"/>
        </w:trPr>
        <w:tc>
          <w:tcPr>
            <w:tcW w:w="4036" w:type="dxa"/>
            <w:vAlign w:val="center"/>
          </w:tcPr>
          <w:p w14:paraId="5EBB152A" w14:textId="77777777" w:rsidR="00AA10A4" w:rsidRPr="000F7B15" w:rsidRDefault="00AA10A4" w:rsidP="00C61CA3">
            <w:pPr>
              <w:rPr>
                <w:b/>
                <w:i/>
              </w:rPr>
            </w:pPr>
            <w:r w:rsidRPr="000F7B15">
              <w:rPr>
                <w:b/>
                <w:i/>
              </w:rPr>
              <w:t>Satellite beam diameter (Note 2)</w:t>
            </w:r>
          </w:p>
        </w:tc>
        <w:tc>
          <w:tcPr>
            <w:tcW w:w="1219" w:type="dxa"/>
            <w:vMerge/>
          </w:tcPr>
          <w:p w14:paraId="4A27D109" w14:textId="77777777" w:rsidR="00AA10A4" w:rsidRPr="000F7B15" w:rsidRDefault="00AA10A4" w:rsidP="00C61CA3">
            <w:pPr>
              <w:rPr>
                <w:b/>
                <w:i/>
              </w:rPr>
            </w:pPr>
          </w:p>
        </w:tc>
        <w:tc>
          <w:tcPr>
            <w:tcW w:w="1675" w:type="dxa"/>
          </w:tcPr>
          <w:p w14:paraId="748B2BDF" w14:textId="77777777" w:rsidR="00AA10A4" w:rsidRPr="000F7B15" w:rsidRDefault="00AA10A4" w:rsidP="00C61CA3">
            <w:pPr>
              <w:rPr>
                <w:b/>
                <w:bCs/>
                <w:i/>
              </w:rPr>
            </w:pPr>
            <w:r w:rsidRPr="000F7B15">
              <w:rPr>
                <w:b/>
                <w:bCs/>
                <w:i/>
              </w:rPr>
              <w:t>700 km</w:t>
            </w:r>
          </w:p>
        </w:tc>
      </w:tr>
      <w:tr w:rsidR="00AA10A4" w:rsidRPr="000F7B15" w14:paraId="1ADECBDB" w14:textId="77777777" w:rsidTr="00C61CA3">
        <w:trPr>
          <w:jc w:val="center"/>
        </w:trPr>
        <w:tc>
          <w:tcPr>
            <w:tcW w:w="6930" w:type="dxa"/>
            <w:gridSpan w:val="3"/>
            <w:vAlign w:val="center"/>
          </w:tcPr>
          <w:p w14:paraId="2FD85FC5" w14:textId="77777777" w:rsidR="00AA10A4" w:rsidRPr="000F7B15" w:rsidRDefault="00AA10A4" w:rsidP="00C61CA3">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C61CA3">
        <w:trPr>
          <w:jc w:val="center"/>
        </w:trPr>
        <w:tc>
          <w:tcPr>
            <w:tcW w:w="4036" w:type="dxa"/>
            <w:vAlign w:val="center"/>
          </w:tcPr>
          <w:p w14:paraId="703F4861" w14:textId="77777777" w:rsidR="00AA10A4" w:rsidRPr="000F7B15" w:rsidRDefault="00AA10A4" w:rsidP="00C61CA3">
            <w:pPr>
              <w:rPr>
                <w:b/>
                <w:i/>
              </w:rPr>
            </w:pPr>
            <w:r w:rsidRPr="000F7B15">
              <w:rPr>
                <w:b/>
                <w:i/>
              </w:rPr>
              <w:t>Equivalent satellite antenna aperture (Note1)</w:t>
            </w:r>
          </w:p>
        </w:tc>
        <w:tc>
          <w:tcPr>
            <w:tcW w:w="1219" w:type="dxa"/>
            <w:vMerge w:val="restart"/>
            <w:vAlign w:val="center"/>
          </w:tcPr>
          <w:p w14:paraId="46C89771" w14:textId="77777777" w:rsidR="00AA10A4" w:rsidRPr="000F7B15" w:rsidRDefault="00AA10A4" w:rsidP="00C61CA3">
            <w:pPr>
              <w:rPr>
                <w:b/>
                <w:i/>
              </w:rPr>
            </w:pPr>
            <w:r w:rsidRPr="000F7B15">
              <w:rPr>
                <w:b/>
                <w:i/>
              </w:rPr>
              <w:t xml:space="preserve">S-band </w:t>
            </w:r>
          </w:p>
          <w:p w14:paraId="18669A9A" w14:textId="77777777" w:rsidR="00AA10A4" w:rsidRPr="000F7B15" w:rsidRDefault="00AA10A4" w:rsidP="00C61CA3">
            <w:pPr>
              <w:rPr>
                <w:b/>
                <w:i/>
              </w:rPr>
            </w:pPr>
            <w:r w:rsidRPr="000F7B15">
              <w:rPr>
                <w:b/>
                <w:i/>
              </w:rPr>
              <w:t>(i.e. 2 GHz)</w:t>
            </w:r>
          </w:p>
        </w:tc>
        <w:tc>
          <w:tcPr>
            <w:tcW w:w="1675" w:type="dxa"/>
            <w:vAlign w:val="center"/>
          </w:tcPr>
          <w:p w14:paraId="3345C38A" w14:textId="77777777" w:rsidR="00AA10A4" w:rsidRPr="000F7B15" w:rsidRDefault="00AA10A4" w:rsidP="00C61CA3">
            <w:pPr>
              <w:rPr>
                <w:b/>
                <w:bCs/>
                <w:i/>
              </w:rPr>
            </w:pPr>
            <w:r w:rsidRPr="000F7B15">
              <w:rPr>
                <w:b/>
                <w:bCs/>
                <w:i/>
              </w:rPr>
              <w:t>0.154 m</w:t>
            </w:r>
          </w:p>
        </w:tc>
      </w:tr>
      <w:tr w:rsidR="00AA10A4" w:rsidRPr="000F7B15" w14:paraId="2A693683" w14:textId="77777777" w:rsidTr="00C61CA3">
        <w:trPr>
          <w:jc w:val="center"/>
        </w:trPr>
        <w:tc>
          <w:tcPr>
            <w:tcW w:w="4036" w:type="dxa"/>
            <w:vAlign w:val="center"/>
          </w:tcPr>
          <w:p w14:paraId="2C2DB5E9" w14:textId="77777777" w:rsidR="00AA10A4" w:rsidRPr="000F7B15" w:rsidRDefault="00AA10A4" w:rsidP="00C61CA3">
            <w:pPr>
              <w:rPr>
                <w:b/>
                <w:i/>
              </w:rPr>
            </w:pPr>
            <w:r w:rsidRPr="000F7B15">
              <w:rPr>
                <w:b/>
                <w:i/>
              </w:rPr>
              <w:t>G/T</w:t>
            </w:r>
          </w:p>
        </w:tc>
        <w:tc>
          <w:tcPr>
            <w:tcW w:w="1219" w:type="dxa"/>
            <w:vMerge/>
          </w:tcPr>
          <w:p w14:paraId="70A88615" w14:textId="77777777" w:rsidR="00AA10A4" w:rsidRPr="000F7B15" w:rsidRDefault="00AA10A4" w:rsidP="00C61CA3">
            <w:pPr>
              <w:rPr>
                <w:b/>
                <w:i/>
              </w:rPr>
            </w:pPr>
          </w:p>
        </w:tc>
        <w:tc>
          <w:tcPr>
            <w:tcW w:w="1675" w:type="dxa"/>
          </w:tcPr>
          <w:p w14:paraId="0C2CB6B0" w14:textId="77777777" w:rsidR="00AA10A4" w:rsidRPr="000F7B15" w:rsidRDefault="00AA10A4" w:rsidP="00C61CA3">
            <w:pPr>
              <w:rPr>
                <w:b/>
                <w:bCs/>
                <w:i/>
              </w:rPr>
            </w:pPr>
            <w:r w:rsidRPr="000F7B15">
              <w:rPr>
                <w:b/>
                <w:bCs/>
                <w:i/>
              </w:rPr>
              <w:t>- 17.9 dB·K</w:t>
            </w:r>
            <w:r w:rsidRPr="000F7B15">
              <w:rPr>
                <w:b/>
                <w:bCs/>
                <w:i/>
                <w:vertAlign w:val="superscript"/>
              </w:rPr>
              <w:t>-1</w:t>
            </w:r>
          </w:p>
        </w:tc>
      </w:tr>
      <w:tr w:rsidR="00AA10A4" w:rsidRPr="000F7B15" w14:paraId="28108155" w14:textId="77777777" w:rsidTr="00C61CA3">
        <w:trPr>
          <w:jc w:val="center"/>
        </w:trPr>
        <w:tc>
          <w:tcPr>
            <w:tcW w:w="4036" w:type="dxa"/>
            <w:vAlign w:val="center"/>
          </w:tcPr>
          <w:p w14:paraId="215CF863" w14:textId="77777777" w:rsidR="00AA10A4" w:rsidRPr="000F7B15" w:rsidRDefault="00AA10A4" w:rsidP="00C61CA3">
            <w:pPr>
              <w:rPr>
                <w:b/>
                <w:i/>
              </w:rPr>
            </w:pPr>
            <w:r w:rsidRPr="000F7B15">
              <w:rPr>
                <w:b/>
                <w:i/>
              </w:rPr>
              <w:t>Satellite Rx max Gain</w:t>
            </w:r>
          </w:p>
        </w:tc>
        <w:tc>
          <w:tcPr>
            <w:tcW w:w="1219" w:type="dxa"/>
            <w:vMerge/>
          </w:tcPr>
          <w:p w14:paraId="06B1BBAB" w14:textId="77777777" w:rsidR="00AA10A4" w:rsidRPr="000F7B15" w:rsidRDefault="00AA10A4" w:rsidP="00C61CA3">
            <w:pPr>
              <w:rPr>
                <w:b/>
                <w:i/>
              </w:rPr>
            </w:pPr>
          </w:p>
        </w:tc>
        <w:tc>
          <w:tcPr>
            <w:tcW w:w="1675" w:type="dxa"/>
          </w:tcPr>
          <w:p w14:paraId="6B795075" w14:textId="77777777" w:rsidR="00AA10A4" w:rsidRPr="000F7B15" w:rsidRDefault="00AA10A4" w:rsidP="00C61CA3">
            <w:pPr>
              <w:rPr>
                <w:b/>
                <w:bCs/>
                <w:i/>
              </w:rPr>
            </w:pPr>
            <w:r w:rsidRPr="000F7B15">
              <w:rPr>
                <w:b/>
                <w:bCs/>
                <w:i/>
              </w:rPr>
              <w:t>11 dBi</w:t>
            </w:r>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E79FCDA" w14:textId="77777777" w:rsidR="006A131C" w:rsidRDefault="006A131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95CA1" w14:paraId="22868ABC" w14:textId="77777777" w:rsidTr="00C61CA3">
        <w:tc>
          <w:tcPr>
            <w:tcW w:w="1795" w:type="dxa"/>
            <w:shd w:val="clear" w:color="auto" w:fill="FFC000"/>
          </w:tcPr>
          <w:p w14:paraId="53C6B801" w14:textId="77777777" w:rsidR="00695CA1" w:rsidRDefault="00695CA1" w:rsidP="00C61CA3">
            <w:pPr>
              <w:pStyle w:val="BodyText"/>
              <w:spacing w:line="256" w:lineRule="auto"/>
              <w:rPr>
                <w:rFonts w:cs="Arial"/>
              </w:rPr>
            </w:pPr>
            <w:r>
              <w:rPr>
                <w:rFonts w:cs="Arial"/>
              </w:rPr>
              <w:t>Company</w:t>
            </w:r>
          </w:p>
        </w:tc>
        <w:tc>
          <w:tcPr>
            <w:tcW w:w="7834" w:type="dxa"/>
            <w:shd w:val="clear" w:color="auto" w:fill="FFC000"/>
          </w:tcPr>
          <w:p w14:paraId="098DDDE7" w14:textId="77777777" w:rsidR="00695CA1" w:rsidRDefault="00695CA1" w:rsidP="00C61CA3">
            <w:pPr>
              <w:pStyle w:val="BodyText"/>
              <w:spacing w:line="256" w:lineRule="auto"/>
              <w:rPr>
                <w:rFonts w:cs="Arial"/>
              </w:rPr>
            </w:pPr>
            <w:r>
              <w:rPr>
                <w:rFonts w:cs="Arial"/>
              </w:rPr>
              <w:t>Comments</w:t>
            </w:r>
          </w:p>
        </w:tc>
      </w:tr>
      <w:tr w:rsidR="00695CA1" w14:paraId="775EAD31" w14:textId="77777777" w:rsidTr="00C61CA3">
        <w:tc>
          <w:tcPr>
            <w:tcW w:w="1795" w:type="dxa"/>
          </w:tcPr>
          <w:p w14:paraId="1E852165" w14:textId="77777777" w:rsidR="00695CA1" w:rsidRDefault="00695CA1" w:rsidP="00C61CA3">
            <w:pPr>
              <w:pStyle w:val="BodyText"/>
              <w:spacing w:line="256" w:lineRule="auto"/>
              <w:rPr>
                <w:rFonts w:cs="Arial"/>
              </w:rPr>
            </w:pPr>
          </w:p>
        </w:tc>
        <w:tc>
          <w:tcPr>
            <w:tcW w:w="7834" w:type="dxa"/>
          </w:tcPr>
          <w:p w14:paraId="745EE406" w14:textId="77777777" w:rsidR="00695CA1" w:rsidRDefault="00695CA1" w:rsidP="00C61CA3">
            <w:pPr>
              <w:pStyle w:val="BodyText"/>
              <w:spacing w:line="256" w:lineRule="auto"/>
              <w:rPr>
                <w:rFonts w:cs="Arial"/>
              </w:rPr>
            </w:pPr>
          </w:p>
        </w:tc>
      </w:tr>
      <w:tr w:rsidR="00695CA1" w14:paraId="0D3B9598" w14:textId="77777777" w:rsidTr="00C61CA3">
        <w:tc>
          <w:tcPr>
            <w:tcW w:w="1795" w:type="dxa"/>
          </w:tcPr>
          <w:p w14:paraId="06272A1D" w14:textId="77777777" w:rsidR="00695CA1" w:rsidRDefault="00695CA1" w:rsidP="00C61CA3">
            <w:pPr>
              <w:pStyle w:val="BodyText"/>
              <w:spacing w:line="256" w:lineRule="auto"/>
              <w:rPr>
                <w:rFonts w:cs="Arial"/>
              </w:rPr>
            </w:pPr>
          </w:p>
        </w:tc>
        <w:tc>
          <w:tcPr>
            <w:tcW w:w="7834" w:type="dxa"/>
          </w:tcPr>
          <w:p w14:paraId="27875103" w14:textId="77777777" w:rsidR="00695CA1" w:rsidRDefault="00695CA1" w:rsidP="00C61CA3">
            <w:pPr>
              <w:pStyle w:val="BodyText"/>
              <w:spacing w:line="256" w:lineRule="auto"/>
              <w:rPr>
                <w:rFonts w:cs="Arial"/>
              </w:rPr>
            </w:pPr>
          </w:p>
        </w:tc>
      </w:tr>
      <w:tr w:rsidR="00695CA1" w14:paraId="692FDAE8" w14:textId="77777777" w:rsidTr="00C61CA3">
        <w:tc>
          <w:tcPr>
            <w:tcW w:w="1795" w:type="dxa"/>
          </w:tcPr>
          <w:p w14:paraId="41E68FDB" w14:textId="77777777" w:rsidR="00695CA1" w:rsidRDefault="00695CA1" w:rsidP="00C61CA3">
            <w:pPr>
              <w:pStyle w:val="BodyText"/>
              <w:spacing w:line="256" w:lineRule="auto"/>
              <w:rPr>
                <w:rFonts w:cs="Arial"/>
              </w:rPr>
            </w:pPr>
          </w:p>
        </w:tc>
        <w:tc>
          <w:tcPr>
            <w:tcW w:w="7834" w:type="dxa"/>
          </w:tcPr>
          <w:p w14:paraId="4529A1C5" w14:textId="77777777" w:rsidR="00695CA1" w:rsidRDefault="00695CA1" w:rsidP="00C61CA3">
            <w:pPr>
              <w:pStyle w:val="BodyText"/>
              <w:spacing w:line="256" w:lineRule="auto"/>
              <w:rPr>
                <w:rFonts w:cs="Arial"/>
              </w:rPr>
            </w:pPr>
          </w:p>
        </w:tc>
      </w:tr>
      <w:tr w:rsidR="00695CA1" w14:paraId="100F85A7" w14:textId="77777777" w:rsidTr="00C61CA3">
        <w:tc>
          <w:tcPr>
            <w:tcW w:w="1795" w:type="dxa"/>
          </w:tcPr>
          <w:p w14:paraId="6BEDD60A" w14:textId="77777777" w:rsidR="00695CA1" w:rsidRDefault="00695CA1" w:rsidP="00C61CA3">
            <w:pPr>
              <w:pStyle w:val="BodyText"/>
              <w:spacing w:line="256" w:lineRule="auto"/>
              <w:rPr>
                <w:rFonts w:cs="Arial"/>
              </w:rPr>
            </w:pPr>
          </w:p>
        </w:tc>
        <w:tc>
          <w:tcPr>
            <w:tcW w:w="7834" w:type="dxa"/>
          </w:tcPr>
          <w:p w14:paraId="1E391CB8" w14:textId="77777777" w:rsidR="00695CA1" w:rsidRDefault="00695CA1" w:rsidP="00C61CA3">
            <w:pPr>
              <w:pStyle w:val="BodyText"/>
              <w:spacing w:line="256" w:lineRule="auto"/>
              <w:rPr>
                <w:rFonts w:cs="Arial"/>
              </w:rPr>
            </w:pPr>
          </w:p>
        </w:tc>
      </w:tr>
      <w:tr w:rsidR="00695CA1" w14:paraId="1C495B85" w14:textId="77777777" w:rsidTr="00C61CA3">
        <w:tc>
          <w:tcPr>
            <w:tcW w:w="1795" w:type="dxa"/>
          </w:tcPr>
          <w:p w14:paraId="3E872418" w14:textId="77777777" w:rsidR="00695CA1" w:rsidRDefault="00695CA1" w:rsidP="00C61CA3">
            <w:pPr>
              <w:pStyle w:val="BodyText"/>
              <w:spacing w:line="256" w:lineRule="auto"/>
              <w:rPr>
                <w:rFonts w:cs="Arial"/>
              </w:rPr>
            </w:pPr>
          </w:p>
        </w:tc>
        <w:tc>
          <w:tcPr>
            <w:tcW w:w="7834" w:type="dxa"/>
          </w:tcPr>
          <w:p w14:paraId="6180910C" w14:textId="77777777" w:rsidR="00695CA1" w:rsidRDefault="00695CA1" w:rsidP="00C61CA3">
            <w:pPr>
              <w:pStyle w:val="BodyText"/>
              <w:spacing w:line="256" w:lineRule="auto"/>
              <w:rPr>
                <w:rFonts w:cs="Arial"/>
              </w:rPr>
            </w:pPr>
          </w:p>
        </w:tc>
      </w:tr>
      <w:tr w:rsidR="00695CA1" w14:paraId="11BB7A1B" w14:textId="77777777" w:rsidTr="00C61CA3">
        <w:tc>
          <w:tcPr>
            <w:tcW w:w="1795" w:type="dxa"/>
          </w:tcPr>
          <w:p w14:paraId="4548AED8" w14:textId="77777777" w:rsidR="00695CA1" w:rsidRDefault="00695CA1" w:rsidP="00C61CA3">
            <w:pPr>
              <w:pStyle w:val="BodyText"/>
              <w:spacing w:line="256" w:lineRule="auto"/>
              <w:rPr>
                <w:rFonts w:cs="Arial"/>
              </w:rPr>
            </w:pPr>
          </w:p>
        </w:tc>
        <w:tc>
          <w:tcPr>
            <w:tcW w:w="7834" w:type="dxa"/>
          </w:tcPr>
          <w:p w14:paraId="106870C9" w14:textId="77777777" w:rsidR="00695CA1" w:rsidRDefault="00695CA1" w:rsidP="00C61CA3">
            <w:pPr>
              <w:pStyle w:val="BodyText"/>
              <w:spacing w:line="256" w:lineRule="auto"/>
              <w:rPr>
                <w:rFonts w:cs="Arial"/>
              </w:rPr>
            </w:pPr>
          </w:p>
        </w:tc>
      </w:tr>
      <w:tr w:rsidR="00695CA1" w14:paraId="3E13E95F" w14:textId="77777777" w:rsidTr="00C61CA3">
        <w:tc>
          <w:tcPr>
            <w:tcW w:w="1795" w:type="dxa"/>
          </w:tcPr>
          <w:p w14:paraId="6048224B" w14:textId="77777777" w:rsidR="00695CA1" w:rsidRDefault="00695CA1" w:rsidP="00C61CA3">
            <w:pPr>
              <w:pStyle w:val="BodyText"/>
              <w:spacing w:line="256" w:lineRule="auto"/>
              <w:rPr>
                <w:rFonts w:cs="Arial"/>
              </w:rPr>
            </w:pPr>
          </w:p>
        </w:tc>
        <w:tc>
          <w:tcPr>
            <w:tcW w:w="7834" w:type="dxa"/>
          </w:tcPr>
          <w:p w14:paraId="4A5871D6" w14:textId="77777777" w:rsidR="00695CA1" w:rsidRDefault="00695CA1" w:rsidP="00C61CA3">
            <w:pPr>
              <w:pStyle w:val="BodyText"/>
              <w:spacing w:line="256" w:lineRule="auto"/>
              <w:rPr>
                <w:rFonts w:cs="Arial"/>
              </w:rPr>
            </w:pPr>
          </w:p>
        </w:tc>
      </w:tr>
      <w:tr w:rsidR="00695CA1" w14:paraId="6810E559" w14:textId="77777777" w:rsidTr="00C61CA3">
        <w:tc>
          <w:tcPr>
            <w:tcW w:w="1795" w:type="dxa"/>
          </w:tcPr>
          <w:p w14:paraId="1CECB80E" w14:textId="77777777" w:rsidR="00695CA1" w:rsidRDefault="00695CA1" w:rsidP="00C61CA3">
            <w:pPr>
              <w:pStyle w:val="BodyText"/>
              <w:spacing w:line="256" w:lineRule="auto"/>
              <w:rPr>
                <w:rFonts w:cs="Arial"/>
              </w:rPr>
            </w:pPr>
          </w:p>
        </w:tc>
        <w:tc>
          <w:tcPr>
            <w:tcW w:w="7834" w:type="dxa"/>
          </w:tcPr>
          <w:p w14:paraId="405DC30F" w14:textId="77777777" w:rsidR="00695CA1" w:rsidRDefault="00695CA1" w:rsidP="00C61CA3">
            <w:pPr>
              <w:pStyle w:val="BodyText"/>
              <w:spacing w:line="256" w:lineRule="auto"/>
              <w:rPr>
                <w:rFonts w:cs="Arial"/>
              </w:rPr>
            </w:pPr>
          </w:p>
        </w:tc>
      </w:tr>
      <w:tr w:rsidR="00695CA1" w14:paraId="3DB3FF84" w14:textId="77777777" w:rsidTr="00C61CA3">
        <w:tc>
          <w:tcPr>
            <w:tcW w:w="1795" w:type="dxa"/>
          </w:tcPr>
          <w:p w14:paraId="6B3B6B6F" w14:textId="77777777" w:rsidR="00695CA1" w:rsidRDefault="00695CA1" w:rsidP="00C61CA3">
            <w:pPr>
              <w:pStyle w:val="BodyText"/>
              <w:spacing w:line="256" w:lineRule="auto"/>
              <w:rPr>
                <w:rFonts w:cs="Arial"/>
              </w:rPr>
            </w:pPr>
          </w:p>
        </w:tc>
        <w:tc>
          <w:tcPr>
            <w:tcW w:w="7834" w:type="dxa"/>
          </w:tcPr>
          <w:p w14:paraId="619574F0" w14:textId="77777777" w:rsidR="00695CA1" w:rsidRDefault="00695CA1" w:rsidP="00C61CA3">
            <w:pPr>
              <w:pStyle w:val="BodyText"/>
              <w:spacing w:line="256" w:lineRule="auto"/>
              <w:rPr>
                <w:rFonts w:cs="Arial"/>
              </w:rPr>
            </w:pPr>
          </w:p>
        </w:tc>
      </w:tr>
      <w:tr w:rsidR="00695CA1" w14:paraId="389F5920" w14:textId="77777777" w:rsidTr="00C61CA3">
        <w:tc>
          <w:tcPr>
            <w:tcW w:w="1795" w:type="dxa"/>
          </w:tcPr>
          <w:p w14:paraId="3D5E4D1C" w14:textId="77777777" w:rsidR="00695CA1" w:rsidRDefault="00695CA1" w:rsidP="00C61CA3">
            <w:pPr>
              <w:pStyle w:val="BodyText"/>
              <w:spacing w:line="256" w:lineRule="auto"/>
              <w:rPr>
                <w:rFonts w:cs="Arial"/>
              </w:rPr>
            </w:pPr>
          </w:p>
        </w:tc>
        <w:tc>
          <w:tcPr>
            <w:tcW w:w="7834" w:type="dxa"/>
          </w:tcPr>
          <w:p w14:paraId="65C10310" w14:textId="77777777" w:rsidR="00695CA1" w:rsidRDefault="00695CA1" w:rsidP="00C61CA3">
            <w:pPr>
              <w:pStyle w:val="BodyText"/>
              <w:spacing w:line="256" w:lineRule="auto"/>
              <w:rPr>
                <w:rFonts w:cs="Arial"/>
              </w:rPr>
            </w:pPr>
          </w:p>
        </w:tc>
      </w:tr>
    </w:tbl>
    <w:p w14:paraId="08E4FCE6" w14:textId="77777777" w:rsidR="00695CA1" w:rsidRDefault="00695CA1" w:rsidP="004502DC">
      <w:pPr>
        <w:snapToGrid w:val="0"/>
        <w:spacing w:beforeLines="50" w:before="120" w:afterLines="50" w:after="120"/>
        <w:rPr>
          <w:rFonts w:eastAsiaTheme="minorEastAsia"/>
          <w:lang w:eastAsia="zh-CN"/>
        </w:rPr>
      </w:pPr>
      <w:bookmarkStart w:id="9" w:name="_GoBack"/>
      <w:bookmarkEnd w:id="9"/>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lastRenderedPageBreak/>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lastRenderedPageBreak/>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lastRenderedPageBreak/>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lastRenderedPageBreak/>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lastRenderedPageBreak/>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lastRenderedPageBreak/>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lastRenderedPageBreak/>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lastRenderedPageBreak/>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lastRenderedPageBreak/>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9891" w14:textId="77777777" w:rsidR="00312039" w:rsidRDefault="00312039">
      <w:r>
        <w:separator/>
      </w:r>
    </w:p>
  </w:endnote>
  <w:endnote w:type="continuationSeparator" w:id="0">
    <w:p w14:paraId="22D7BDE7" w14:textId="77777777" w:rsidR="00312039" w:rsidRDefault="0031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1CB7" w14:textId="77777777" w:rsidR="00312039" w:rsidRDefault="00312039">
      <w:r>
        <w:separator/>
      </w:r>
    </w:p>
  </w:footnote>
  <w:footnote w:type="continuationSeparator" w:id="0">
    <w:p w14:paraId="50ADFBB0" w14:textId="77777777" w:rsidR="00312039" w:rsidRDefault="00312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21"/>
  </w:num>
  <w:num w:numId="5">
    <w:abstractNumId w:val="15"/>
  </w:num>
  <w:num w:numId="6">
    <w:abstractNumId w:val="3"/>
  </w:num>
  <w:num w:numId="7">
    <w:abstractNumId w:val="14"/>
  </w:num>
  <w:num w:numId="8">
    <w:abstractNumId w:val="16"/>
  </w:num>
  <w:num w:numId="9">
    <w:abstractNumId w:val="9"/>
  </w:num>
  <w:num w:numId="10">
    <w:abstractNumId w:val="10"/>
  </w:num>
  <w:num w:numId="11">
    <w:abstractNumId w:val="17"/>
  </w:num>
  <w:num w:numId="12">
    <w:abstractNumId w:val="8"/>
  </w:num>
  <w:num w:numId="13">
    <w:abstractNumId w:val="18"/>
  </w:num>
  <w:num w:numId="14">
    <w:abstractNumId w:val="20"/>
  </w:num>
  <w:num w:numId="15">
    <w:abstractNumId w:val="11"/>
  </w:num>
  <w:num w:numId="16">
    <w:abstractNumId w:val="7"/>
  </w:num>
  <w:num w:numId="17">
    <w:abstractNumId w:val="5"/>
  </w:num>
  <w:num w:numId="18">
    <w:abstractNumId w:val="13"/>
  </w:num>
  <w:num w:numId="19">
    <w:abstractNumId w:val="1"/>
  </w:num>
  <w:num w:numId="20">
    <w:abstractNumId w:val="19"/>
  </w:num>
  <w:num w:numId="21">
    <w:abstractNumId w:val="6"/>
  </w:num>
  <w:num w:numId="22">
    <w:abstractNumId w:val="22"/>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64F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7A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DE4"/>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20D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6F3DC.B2618AE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DA7274F5-E30A-4B51-809C-3B34D45B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TotalTime>
  <Pages>40</Pages>
  <Words>13445</Words>
  <Characters>76639</Characters>
  <Application>Microsoft Office Word</Application>
  <DocSecurity>0</DocSecurity>
  <Lines>638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89905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40</cp:revision>
  <cp:lastPrinted>2017-11-03T15:53:00Z</cp:lastPrinted>
  <dcterms:created xsi:type="dcterms:W3CDTF">2021-01-28T10:47:00Z</dcterms:created>
  <dcterms:modified xsi:type="dcterms:W3CDTF">2021-01-30T17:47:00Z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