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We agree with ‘Note 2’ above. We suggest to use UL and DL SNR values which are compatible with LEO limited coverage time (i.e. avoid  being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NB-IoT/eMTC in terrestrial network</w:t>
            </w:r>
            <w:r>
              <w:rPr>
                <w:lang w:eastAsia="zh-CN"/>
              </w:rPr>
              <w:t xml:space="preserve"> can actually be used for NTN deployment. The high mobility and different channel conditions could lead to a very different SNR requirement for NB-IoT/eMTC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The difference between TN and NTN should be considered, which may impact the min required  SINR.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low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D30281D" w:rsidR="00393184" w:rsidRPr="00A8787F" w:rsidRDefault="004C1002" w:rsidP="00393184">
            <w:pPr>
              <w:snapToGrid w:val="0"/>
              <w:spacing w:after="0"/>
              <w:rPr>
                <w:lang w:eastAsia="zh-CN"/>
              </w:rPr>
            </w:pPr>
            <w:r>
              <w:rPr>
                <w:lang w:eastAsia="zh-CN"/>
              </w:rPr>
              <w:t>ESA</w:t>
            </w:r>
          </w:p>
        </w:tc>
        <w:tc>
          <w:tcPr>
            <w:tcW w:w="8080" w:type="dxa"/>
            <w:vAlign w:val="center"/>
          </w:tcPr>
          <w:p w14:paraId="55C41B59" w14:textId="7A841F72" w:rsidR="00393184" w:rsidRPr="00A8787F" w:rsidRDefault="004C1002" w:rsidP="00B9677F">
            <w:pPr>
              <w:spacing w:beforeLines="50" w:before="120" w:afterLines="50" w:after="120"/>
            </w:pPr>
            <w:r>
              <w:t xml:space="preserve">Frankly speaking, the important information is captured in the “NOTE 1 and 2”, where it is reported how to decrease the minimum SNR thresholds. The proposed minimum C/N values are good examples </w:t>
            </w:r>
            <w:r w:rsidR="00B9677F">
              <w:t>in order to show</w:t>
            </w:r>
            <w:r>
              <w:t xml:space="preserve"> </w:t>
            </w:r>
            <w:r w:rsidR="00B9677F">
              <w:t xml:space="preserve">how far </w:t>
            </w:r>
            <w:r>
              <w:t>the NB-IoT/eMTC technology might be pushed</w:t>
            </w:r>
            <w:r w:rsidR="00B9677F">
              <w:t>.</w:t>
            </w:r>
            <w:r>
              <w:t xml:space="preserve"> </w:t>
            </w:r>
            <w:r w:rsidR="00B9677F">
              <w:t>H</w:t>
            </w:r>
            <w:r>
              <w:t>owever</w:t>
            </w:r>
            <w:r w:rsidR="00B9677F">
              <w:t>,</w:t>
            </w:r>
            <w:r>
              <w:t xml:space="preserve"> it will be always a design parameter and a trade-off choice of the satellite system implementer to identify the optimal C/N range (e.g., coverage vs. data-rate)</w:t>
            </w:r>
            <w:r w:rsidR="00B9677F">
              <w:t>.</w:t>
            </w: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lastRenderedPageBreak/>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eastAsia="en-GB"/>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 xml:space="preserve">We are fine to include Set 3 parameter set as long as the satellite operators/manufactures think this will a typical setup and will be used in practice for NB-IoT/eMTC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of </w:t>
            </w:r>
            <w:r>
              <w:t xml:space="preserve"> “central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3165FA9C" w:rsidR="00393184" w:rsidRPr="00A8787F" w:rsidRDefault="00B9677F" w:rsidP="00393184">
            <w:pPr>
              <w:snapToGrid w:val="0"/>
              <w:spacing w:after="0"/>
              <w:rPr>
                <w:lang w:eastAsia="zh-CN"/>
              </w:rPr>
            </w:pPr>
            <w:r>
              <w:rPr>
                <w:lang w:eastAsia="zh-CN"/>
              </w:rPr>
              <w:t>ESA</w:t>
            </w:r>
          </w:p>
        </w:tc>
        <w:tc>
          <w:tcPr>
            <w:tcW w:w="8556" w:type="dxa"/>
            <w:vAlign w:val="center"/>
          </w:tcPr>
          <w:p w14:paraId="321DA7F8" w14:textId="1613B698" w:rsidR="00393184" w:rsidRPr="00A8787F" w:rsidRDefault="00B9677F" w:rsidP="00086BE2">
            <w:pPr>
              <w:tabs>
                <w:tab w:val="left" w:pos="1752"/>
              </w:tabs>
              <w:snapToGrid w:val="0"/>
              <w:spacing w:after="0"/>
              <w:jc w:val="both"/>
            </w:pPr>
            <w:r>
              <w:t xml:space="preserve">Agree to include Set-3. </w:t>
            </w:r>
            <w:r w:rsidR="00086BE2">
              <w:t>The concern raised for ZTE is correct. Stating only</w:t>
            </w:r>
            <w:r>
              <w:t xml:space="preserve"> “central beam elevation” is </w:t>
            </w:r>
            <w:r w:rsidR="00086BE2">
              <w:t>misleading. O</w:t>
            </w:r>
            <w:r>
              <w:t>ption 1</w:t>
            </w:r>
            <w:r w:rsidR="00086BE2">
              <w:t>was in NR-NTN, but if option is preferred, it is fine with us</w:t>
            </w:r>
            <w:r>
              <w:t>.</w:t>
            </w: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 xml:space="preserve">Similar to above, we are fine to include Set 4 parameter set as long as the satellite operators/manufactures think this will a typical setup and will be used in practice for NB-IoT/eMTC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r>
              <w:rPr>
                <w:lang w:eastAsia="zh-CN"/>
              </w:rPr>
              <w:t>Sateliot,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Maybe we could agree that we are here in the case of a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en the UE is at the sat’s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(before :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30 deg</w:t>
                  </w:r>
                </w:p>
              </w:tc>
              <w:tc>
                <w:tcPr>
                  <w:tcW w:w="1548" w:type="dxa"/>
                </w:tcPr>
                <w:p w14:paraId="4FE66538" w14:textId="77777777" w:rsidR="00304290" w:rsidRPr="006D0930" w:rsidRDefault="00304290" w:rsidP="009805AF">
                  <w:pPr>
                    <w:jc w:val="center"/>
                  </w:pPr>
                  <w:r w:rsidRPr="006D0930">
                    <w:t>(Beam center)</w:t>
                  </w:r>
                </w:p>
                <w:p w14:paraId="54C5F5A0" w14:textId="77777777" w:rsidR="00304290" w:rsidRPr="006D0930" w:rsidRDefault="00304290" w:rsidP="009805AF">
                  <w:pPr>
                    <w:jc w:val="center"/>
                    <w:rPr>
                      <w:highlight w:val="yellow"/>
                    </w:rPr>
                  </w:pPr>
                  <w:r w:rsidRPr="006D0930">
                    <w:t>90 deg</w:t>
                  </w:r>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21.45 dBW/MHz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11 dBi</w:t>
                  </w:r>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8 dBi</w:t>
                  </w:r>
                </w:p>
              </w:tc>
              <w:tc>
                <w:tcPr>
                  <w:tcW w:w="1548" w:type="dxa"/>
                </w:tcPr>
                <w:p w14:paraId="5ECCC014" w14:textId="77777777" w:rsidR="00304290" w:rsidRPr="006D0930" w:rsidRDefault="00304290" w:rsidP="009805AF">
                  <w:pPr>
                    <w:jc w:val="center"/>
                    <w:rPr>
                      <w:bCs/>
                    </w:rPr>
                  </w:pPr>
                  <w:r w:rsidRPr="006D0930">
                    <w:rPr>
                      <w:bCs/>
                    </w:rPr>
                    <w:t>11 dBi</w:t>
                  </w:r>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lastRenderedPageBreak/>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It is fine to further discuss the central beam 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r w:rsidR="0040738E" w:rsidRPr="00A8787F" w14:paraId="661C0BFB" w14:textId="77777777" w:rsidTr="00D72553">
        <w:trPr>
          <w:trHeight w:val="398"/>
          <w:jc w:val="center"/>
        </w:trPr>
        <w:tc>
          <w:tcPr>
            <w:tcW w:w="1446" w:type="dxa"/>
            <w:shd w:val="clear" w:color="auto" w:fill="auto"/>
            <w:vAlign w:val="center"/>
          </w:tcPr>
          <w:p w14:paraId="7CD19628" w14:textId="4814C2A8" w:rsidR="0040738E" w:rsidRDefault="0040738E" w:rsidP="00A61237">
            <w:pPr>
              <w:snapToGrid w:val="0"/>
              <w:spacing w:after="0"/>
              <w:rPr>
                <w:lang w:eastAsia="zh-CN"/>
              </w:rPr>
            </w:pPr>
            <w:r>
              <w:rPr>
                <w:lang w:eastAsia="zh-CN"/>
              </w:rPr>
              <w:t xml:space="preserve">ESA </w:t>
            </w:r>
          </w:p>
        </w:tc>
        <w:tc>
          <w:tcPr>
            <w:tcW w:w="8193" w:type="dxa"/>
            <w:vAlign w:val="center"/>
          </w:tcPr>
          <w:p w14:paraId="0F7A6908" w14:textId="28B4033D" w:rsidR="0040738E" w:rsidRDefault="0040738E" w:rsidP="00A61237">
            <w:pPr>
              <w:tabs>
                <w:tab w:val="left" w:pos="1752"/>
              </w:tabs>
              <w:snapToGrid w:val="0"/>
              <w:spacing w:after="0"/>
              <w:jc w:val="both"/>
            </w:pPr>
            <w:r>
              <w:t>Agree to add set-4.</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UE,  we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lastRenderedPageBreak/>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Agreed with Sateliot</w:t>
            </w:r>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Agree proposal. We are also open to usin NF=7 dB.</w:t>
            </w:r>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40738E" w:rsidRPr="00A8787F" w14:paraId="4D20CB36" w14:textId="77777777" w:rsidTr="007F63E4">
        <w:trPr>
          <w:trHeight w:val="398"/>
          <w:jc w:val="center"/>
        </w:trPr>
        <w:tc>
          <w:tcPr>
            <w:tcW w:w="1559" w:type="dxa"/>
            <w:shd w:val="clear" w:color="auto" w:fill="auto"/>
            <w:vAlign w:val="center"/>
          </w:tcPr>
          <w:p w14:paraId="0D2E1478" w14:textId="5A69FE64" w:rsidR="0040738E" w:rsidRDefault="0040738E"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3BD3F312" w14:textId="1B31DFE0" w:rsidR="0040738E" w:rsidRDefault="0040738E" w:rsidP="00393184">
            <w:pPr>
              <w:tabs>
                <w:tab w:val="left" w:pos="1752"/>
              </w:tabs>
              <w:snapToGrid w:val="0"/>
              <w:spacing w:after="0"/>
              <w:jc w:val="both"/>
              <w:rPr>
                <w:rFonts w:eastAsiaTheme="minorEastAsia"/>
                <w:lang w:eastAsia="zh-CN"/>
              </w:rPr>
            </w:pPr>
            <w:r>
              <w:rPr>
                <w:rFonts w:eastAsiaTheme="minorEastAsia"/>
                <w:lang w:eastAsia="zh-CN"/>
              </w:rPr>
              <w:t>Preference on PC3 (23 dBm) and NF=7 dB. It is also fine to keep the two notes showing that 20 dBm will affect the UL, and the NF 9 will decrease the DL margin.</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lastRenderedPageBreak/>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UL Channel bandwidth for NB-IOT (in line with Eutelsat R1.2101146) and eMTC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khz, and for eMTC,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r>
              <w:rPr>
                <w:lang w:eastAsia="zh-CN"/>
              </w:rPr>
              <w:t>Sateliot/Gatehouse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r w:rsidR="0040738E" w:rsidRPr="00A8787F" w14:paraId="6EA450B0" w14:textId="77777777" w:rsidTr="00304290">
        <w:trPr>
          <w:trHeight w:val="398"/>
          <w:jc w:val="center"/>
        </w:trPr>
        <w:tc>
          <w:tcPr>
            <w:tcW w:w="1727" w:type="dxa"/>
            <w:shd w:val="clear" w:color="auto" w:fill="auto"/>
            <w:vAlign w:val="center"/>
          </w:tcPr>
          <w:p w14:paraId="4F635FB3" w14:textId="2DF8C0E9" w:rsidR="0040738E" w:rsidRDefault="0040738E" w:rsidP="00393184">
            <w:pPr>
              <w:snapToGrid w:val="0"/>
              <w:spacing w:after="0"/>
              <w:rPr>
                <w:lang w:eastAsia="zh-CN"/>
              </w:rPr>
            </w:pPr>
            <w:r>
              <w:rPr>
                <w:lang w:eastAsia="zh-CN"/>
              </w:rPr>
              <w:t>ESA</w:t>
            </w:r>
          </w:p>
        </w:tc>
        <w:tc>
          <w:tcPr>
            <w:tcW w:w="7912" w:type="dxa"/>
            <w:vAlign w:val="center"/>
          </w:tcPr>
          <w:p w14:paraId="325B2B99" w14:textId="68AA25E2" w:rsidR="0040738E" w:rsidRDefault="0040738E" w:rsidP="00393184">
            <w:pPr>
              <w:tabs>
                <w:tab w:val="left" w:pos="1752"/>
              </w:tabs>
              <w:snapToGrid w:val="0"/>
              <w:spacing w:after="0"/>
              <w:jc w:val="both"/>
            </w:pPr>
            <w:r>
              <w:t>Agree</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lastRenderedPageBreak/>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lastRenderedPageBreak/>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lastRenderedPageBreak/>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eastAsia="en-GB"/>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i.e. </w:t>
            </w:r>
            <w:r w:rsidRPr="00FE1A57">
              <w:t>GEO@12.5 deg,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r>
              <w:rPr>
                <w:lang w:eastAsia="zh-CN"/>
              </w:rPr>
              <w:t>Sateliot,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of </w:t>
            </w:r>
            <w:r>
              <w:t xml:space="preserve"> “central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r w:rsidR="00086BE2" w:rsidRPr="00A8787F" w14:paraId="24B9CFA2" w14:textId="77777777" w:rsidTr="00D72553">
        <w:trPr>
          <w:trHeight w:val="398"/>
          <w:jc w:val="center"/>
        </w:trPr>
        <w:tc>
          <w:tcPr>
            <w:tcW w:w="1105" w:type="dxa"/>
            <w:shd w:val="clear" w:color="auto" w:fill="auto"/>
            <w:vAlign w:val="center"/>
          </w:tcPr>
          <w:p w14:paraId="03C5AE47" w14:textId="335F2EB1" w:rsidR="00086BE2" w:rsidRDefault="00086BE2" w:rsidP="00393184">
            <w:pPr>
              <w:snapToGrid w:val="0"/>
              <w:spacing w:after="0"/>
              <w:rPr>
                <w:lang w:eastAsia="zh-CN"/>
              </w:rPr>
            </w:pPr>
            <w:r>
              <w:rPr>
                <w:lang w:eastAsia="zh-CN"/>
              </w:rPr>
              <w:t>ESA</w:t>
            </w:r>
          </w:p>
        </w:tc>
        <w:tc>
          <w:tcPr>
            <w:tcW w:w="8556" w:type="dxa"/>
            <w:vAlign w:val="center"/>
          </w:tcPr>
          <w:p w14:paraId="51BB97C2" w14:textId="0FDDAA07" w:rsidR="00086BE2" w:rsidRDefault="00086BE2" w:rsidP="00D72553">
            <w:pPr>
              <w:tabs>
                <w:tab w:val="left" w:pos="1752"/>
              </w:tabs>
              <w:snapToGrid w:val="0"/>
              <w:spacing w:after="0"/>
              <w:jc w:val="both"/>
            </w:pPr>
            <w:r>
              <w:t xml:space="preserve">“Central beam elevation” is too generic. Agree with Sateliot proposal: </w:t>
            </w:r>
            <w:r w:rsidRPr="00086BE2">
              <w:rPr>
                <w:i/>
              </w:rPr>
              <w:t>beam edge elevation</w:t>
            </w:r>
            <w:r>
              <w:t xml:space="preserve"> and </w:t>
            </w:r>
            <w:r w:rsidRPr="00086BE2">
              <w:rPr>
                <w:i/>
              </w:rPr>
              <w:t>beam center</w:t>
            </w:r>
            <w:r>
              <w:t xml:space="preserve"> </w:t>
            </w:r>
            <w:r w:rsidRPr="00086BE2">
              <w:rPr>
                <w:i/>
              </w:rPr>
              <w:t>elevation</w:t>
            </w:r>
            <w:r>
              <w:t xml:space="preserve"> are clearer definitions.</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r>
              <w:rPr>
                <w:lang w:eastAsia="zh-CN"/>
              </w:rPr>
              <w:t>Sateliot,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r w:rsidR="00086BE2" w:rsidRPr="00A8787F" w14:paraId="60937806" w14:textId="77777777" w:rsidTr="007F63E4">
        <w:trPr>
          <w:trHeight w:val="398"/>
          <w:jc w:val="center"/>
        </w:trPr>
        <w:tc>
          <w:tcPr>
            <w:tcW w:w="1559" w:type="dxa"/>
            <w:shd w:val="clear" w:color="auto" w:fill="auto"/>
            <w:vAlign w:val="center"/>
          </w:tcPr>
          <w:p w14:paraId="549762E9" w14:textId="3485F0F9" w:rsidR="00086BE2" w:rsidRDefault="00086BE2" w:rsidP="00393184">
            <w:pPr>
              <w:snapToGrid w:val="0"/>
              <w:spacing w:after="0"/>
              <w:rPr>
                <w:rFonts w:eastAsiaTheme="minorEastAsia"/>
                <w:lang w:eastAsia="zh-CN"/>
              </w:rPr>
            </w:pPr>
            <w:r>
              <w:rPr>
                <w:rFonts w:eastAsiaTheme="minorEastAsia"/>
                <w:lang w:eastAsia="zh-CN"/>
              </w:rPr>
              <w:t>ESA</w:t>
            </w:r>
          </w:p>
        </w:tc>
        <w:tc>
          <w:tcPr>
            <w:tcW w:w="8080" w:type="dxa"/>
            <w:vAlign w:val="center"/>
          </w:tcPr>
          <w:p w14:paraId="4EBA6A79" w14:textId="38EBE34A" w:rsidR="00086BE2" w:rsidRDefault="00086BE2"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lastRenderedPageBreak/>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r>
              <w:rPr>
                <w:lang w:eastAsia="zh-CN"/>
              </w:rPr>
              <w:t>Sateliot,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Agree. We also think like ZTE and Ericsson this proposal needs to be aligned with other discussions in 2.2, 5, and  6.1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r w:rsidR="00086BE2" w:rsidRPr="00A8787F" w14:paraId="7460570C" w14:textId="77777777" w:rsidTr="007F63E4">
        <w:trPr>
          <w:trHeight w:val="398"/>
          <w:jc w:val="center"/>
        </w:trPr>
        <w:tc>
          <w:tcPr>
            <w:tcW w:w="1559" w:type="dxa"/>
            <w:shd w:val="clear" w:color="auto" w:fill="auto"/>
            <w:vAlign w:val="center"/>
          </w:tcPr>
          <w:p w14:paraId="0078B069" w14:textId="420A35F6" w:rsidR="00086BE2" w:rsidRDefault="00086BE2" w:rsidP="00393184">
            <w:pPr>
              <w:snapToGrid w:val="0"/>
              <w:spacing w:after="0"/>
              <w:rPr>
                <w:lang w:eastAsia="zh-CN"/>
              </w:rPr>
            </w:pPr>
            <w:r>
              <w:rPr>
                <w:lang w:eastAsia="zh-CN"/>
              </w:rPr>
              <w:t>ESA</w:t>
            </w:r>
          </w:p>
        </w:tc>
        <w:tc>
          <w:tcPr>
            <w:tcW w:w="8080" w:type="dxa"/>
            <w:vAlign w:val="center"/>
          </w:tcPr>
          <w:p w14:paraId="31145728" w14:textId="2357BB5E" w:rsidR="00086BE2" w:rsidRDefault="00086BE2" w:rsidP="00D72553">
            <w:pPr>
              <w:tabs>
                <w:tab w:val="left" w:pos="1752"/>
              </w:tabs>
              <w:snapToGrid w:val="0"/>
              <w:spacing w:after="0"/>
              <w:jc w:val="both"/>
            </w:pPr>
            <w:r>
              <w:t>Agree</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NB-IoT and eMTC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 xml:space="preserve">The path loss modelling from TR 38.821 in Table 6.1.3.3-1 were agreed to be included in </w:t>
      </w:r>
      <w:r w:rsidR="00B07BC9" w:rsidRPr="00B07BC9">
        <w:rPr>
          <w:lang w:eastAsia="x-none"/>
        </w:rPr>
        <w:lastRenderedPageBreak/>
        <w:t>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Need to algin assumptions first before including the tables for link budget. Also, Set-3 is applicable to eMTC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120BF2D3" w:rsidR="00393184" w:rsidRPr="00A8787F" w:rsidRDefault="00C92C7B" w:rsidP="00393184">
            <w:pPr>
              <w:snapToGrid w:val="0"/>
              <w:spacing w:after="0"/>
              <w:rPr>
                <w:lang w:eastAsia="zh-CN"/>
              </w:rPr>
            </w:pPr>
            <w:r>
              <w:rPr>
                <w:lang w:eastAsia="zh-CN"/>
              </w:rPr>
              <w:t>ESA</w:t>
            </w:r>
          </w:p>
        </w:tc>
        <w:tc>
          <w:tcPr>
            <w:tcW w:w="8080" w:type="dxa"/>
            <w:vAlign w:val="center"/>
          </w:tcPr>
          <w:p w14:paraId="707D0B7B" w14:textId="33F55D20" w:rsidR="00393184" w:rsidRPr="00A8787F" w:rsidRDefault="00C92C7B" w:rsidP="00C92C7B">
            <w:pPr>
              <w:tabs>
                <w:tab w:val="left" w:pos="1752"/>
              </w:tabs>
              <w:snapToGrid w:val="0"/>
              <w:spacing w:after="0"/>
              <w:jc w:val="both"/>
            </w:pPr>
            <w:r>
              <w:t>Once the parameters have been aligned and agreed. Please avoid to do this calibration exercise twice.</w:t>
            </w: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lastRenderedPageBreak/>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lastRenderedPageBreak/>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364"/>
      </w:tblGrid>
      <w:tr w:rsidR="000D793D" w:rsidRPr="00A8787F" w14:paraId="1A53E65F" w14:textId="77777777" w:rsidTr="00B30A5E">
        <w:trPr>
          <w:trHeight w:val="398"/>
          <w:jc w:val="center"/>
        </w:trPr>
        <w:tc>
          <w:tcPr>
            <w:tcW w:w="1020"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lastRenderedPageBreak/>
              <w:t>Company</w:t>
            </w:r>
          </w:p>
        </w:tc>
        <w:tc>
          <w:tcPr>
            <w:tcW w:w="8837"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B30A5E">
        <w:trPr>
          <w:trHeight w:val="398"/>
          <w:jc w:val="center"/>
        </w:trPr>
        <w:tc>
          <w:tcPr>
            <w:tcW w:w="1020"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8837"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B30A5E">
        <w:trPr>
          <w:trHeight w:val="398"/>
          <w:jc w:val="center"/>
        </w:trPr>
        <w:tc>
          <w:tcPr>
            <w:tcW w:w="1020"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837"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Fine to agree that study cases for set 4 ,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B30A5E">
        <w:trPr>
          <w:trHeight w:val="398"/>
          <w:jc w:val="center"/>
        </w:trPr>
        <w:tc>
          <w:tcPr>
            <w:tcW w:w="1020"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8837"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B30A5E">
        <w:trPr>
          <w:trHeight w:val="398"/>
          <w:jc w:val="center"/>
        </w:trPr>
        <w:tc>
          <w:tcPr>
            <w:tcW w:w="1020"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8837" w:type="dxa"/>
            <w:vAlign w:val="center"/>
          </w:tcPr>
          <w:p w14:paraId="63946928" w14:textId="10B9D889" w:rsidR="00C51CDF" w:rsidRPr="00A8787F" w:rsidRDefault="00C51CDF" w:rsidP="00C51CDF">
            <w:pPr>
              <w:spacing w:beforeLines="50" w:before="120" w:afterLines="50" w:after="120"/>
            </w:pPr>
            <w:r>
              <w:t>Need to algin assumptions first before including the tables for link budget. Also, Set-4 is applicable to eMTC as well.</w:t>
            </w:r>
          </w:p>
        </w:tc>
      </w:tr>
      <w:tr w:rsidR="00393184" w:rsidRPr="00A8787F" w14:paraId="54285A62" w14:textId="77777777" w:rsidTr="00B30A5E">
        <w:trPr>
          <w:trHeight w:val="398"/>
          <w:jc w:val="center"/>
        </w:trPr>
        <w:tc>
          <w:tcPr>
            <w:tcW w:w="1020"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837"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B30A5E">
        <w:trPr>
          <w:trHeight w:val="398"/>
          <w:jc w:val="center"/>
        </w:trPr>
        <w:tc>
          <w:tcPr>
            <w:tcW w:w="1020"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8837"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B30A5E">
        <w:trPr>
          <w:trHeight w:val="398"/>
          <w:jc w:val="center"/>
        </w:trPr>
        <w:tc>
          <w:tcPr>
            <w:tcW w:w="1020"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8837"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B30A5E">
        <w:trPr>
          <w:trHeight w:val="398"/>
          <w:jc w:val="center"/>
        </w:trPr>
        <w:tc>
          <w:tcPr>
            <w:tcW w:w="1020"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8837"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09"/>
              <w:gridCol w:w="609"/>
              <w:gridCol w:w="609"/>
              <w:gridCol w:w="609"/>
              <w:gridCol w:w="609"/>
              <w:gridCol w:w="626"/>
              <w:gridCol w:w="609"/>
              <w:gridCol w:w="609"/>
              <w:gridCol w:w="609"/>
              <w:gridCol w:w="609"/>
              <w:gridCol w:w="609"/>
              <w:gridCol w:w="609"/>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B30A5E">
        <w:trPr>
          <w:trHeight w:val="412"/>
          <w:jc w:val="center"/>
        </w:trPr>
        <w:tc>
          <w:tcPr>
            <w:tcW w:w="1020"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837"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B30A5E">
        <w:trPr>
          <w:trHeight w:val="417"/>
          <w:jc w:val="center"/>
        </w:trPr>
        <w:tc>
          <w:tcPr>
            <w:tcW w:w="1020"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8837"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B30A5E">
        <w:trPr>
          <w:trHeight w:val="398"/>
          <w:jc w:val="center"/>
        </w:trPr>
        <w:tc>
          <w:tcPr>
            <w:tcW w:w="1020" w:type="dxa"/>
            <w:shd w:val="clear" w:color="auto" w:fill="auto"/>
            <w:vAlign w:val="center"/>
          </w:tcPr>
          <w:p w14:paraId="20D4CF18" w14:textId="4726517F" w:rsidR="000B0EC4" w:rsidRPr="00A8787F" w:rsidRDefault="00B30A5E" w:rsidP="000B0EC4">
            <w:pPr>
              <w:snapToGrid w:val="0"/>
              <w:spacing w:after="0"/>
              <w:rPr>
                <w:lang w:eastAsia="zh-CN"/>
              </w:rPr>
            </w:pPr>
            <w:r>
              <w:rPr>
                <w:lang w:eastAsia="zh-CN"/>
              </w:rPr>
              <w:t>Mediatek</w:t>
            </w:r>
          </w:p>
        </w:tc>
        <w:tc>
          <w:tcPr>
            <w:tcW w:w="8837"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B30A5E">
        <w:trPr>
          <w:trHeight w:val="398"/>
          <w:jc w:val="center"/>
        </w:trPr>
        <w:tc>
          <w:tcPr>
            <w:tcW w:w="1020"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8837"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r w:rsidR="00C92C7B" w:rsidRPr="00A8787F" w14:paraId="269CBE23" w14:textId="77777777" w:rsidTr="00B30A5E">
        <w:trPr>
          <w:trHeight w:val="398"/>
          <w:jc w:val="center"/>
        </w:trPr>
        <w:tc>
          <w:tcPr>
            <w:tcW w:w="1020" w:type="dxa"/>
            <w:shd w:val="clear" w:color="auto" w:fill="auto"/>
            <w:vAlign w:val="center"/>
          </w:tcPr>
          <w:p w14:paraId="3265A252" w14:textId="0A76F51E" w:rsidR="00C92C7B" w:rsidRDefault="00C92C7B" w:rsidP="000B0EC4">
            <w:pPr>
              <w:snapToGrid w:val="0"/>
              <w:spacing w:after="0"/>
              <w:rPr>
                <w:lang w:eastAsia="zh-CN"/>
              </w:rPr>
            </w:pPr>
            <w:r>
              <w:rPr>
                <w:lang w:eastAsia="zh-CN"/>
              </w:rPr>
              <w:t>ESA</w:t>
            </w:r>
          </w:p>
        </w:tc>
        <w:tc>
          <w:tcPr>
            <w:tcW w:w="8837" w:type="dxa"/>
            <w:vAlign w:val="center"/>
          </w:tcPr>
          <w:p w14:paraId="0010FBE9" w14:textId="55975E51" w:rsidR="00C92C7B" w:rsidRDefault="00C92C7B" w:rsidP="000B0EC4">
            <w:pPr>
              <w:tabs>
                <w:tab w:val="left" w:pos="1752"/>
              </w:tabs>
              <w:snapToGrid w:val="0"/>
              <w:spacing w:after="0"/>
              <w:jc w:val="both"/>
            </w:pPr>
            <w:r>
              <w:t>Once the parameters have been aligned and agreed. Please avoid to do this calibration exercise twice</w:t>
            </w:r>
            <w:r>
              <w:t>.</w:t>
            </w: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lastRenderedPageBreak/>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eMTC has more tight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(NB-IoT/eMTC). We can present results with all sets (1,2,3 and 4); or, for brevity, it may be discussed whether it is OK to present eMTC results with just Set 1 and Set 2. But the TR shouldn’t give the impression to a reader that Set X (1,2,3,4) is “excluded” as a viable use case for deployment type Y (eMTC/NB-IoT)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general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Set-1 is applicable to eMTC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0CAE0178" w:rsidR="001547F1" w:rsidRPr="00A8787F" w:rsidRDefault="00C92C7B" w:rsidP="001547F1">
            <w:pPr>
              <w:snapToGrid w:val="0"/>
              <w:spacing w:after="0"/>
              <w:rPr>
                <w:lang w:eastAsia="zh-CN"/>
              </w:rPr>
            </w:pPr>
            <w:r>
              <w:rPr>
                <w:lang w:eastAsia="zh-CN"/>
              </w:rPr>
              <w:t>ESA</w:t>
            </w:r>
          </w:p>
        </w:tc>
        <w:tc>
          <w:tcPr>
            <w:tcW w:w="8080" w:type="dxa"/>
            <w:vAlign w:val="center"/>
          </w:tcPr>
          <w:p w14:paraId="5FD4A60E" w14:textId="6971DC61" w:rsidR="001547F1" w:rsidRPr="00A8787F" w:rsidRDefault="00C92C7B" w:rsidP="001547F1">
            <w:pPr>
              <w:spacing w:beforeLines="50" w:before="120" w:afterLines="50" w:after="120"/>
            </w:pPr>
            <w:r>
              <w:t>Agree. Set-1 is certainly applicable to eMTC.</w:t>
            </w: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w:t>
      </w:r>
      <w:r>
        <w:rPr>
          <w:rFonts w:eastAsiaTheme="minorEastAsia"/>
          <w:lang w:eastAsia="zh-CN"/>
        </w:rPr>
        <w:lastRenderedPageBreak/>
        <w:t xml:space="preserve">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eMTC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eMTC</w:t>
            </w:r>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Not sure how many set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eMTC,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Set-2 is applicable to eMTC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449C6A86" w:rsidR="00EA021C" w:rsidRPr="00A8787F" w:rsidRDefault="00C92C7B" w:rsidP="00EA021C">
            <w:pPr>
              <w:snapToGrid w:val="0"/>
              <w:spacing w:after="0"/>
              <w:rPr>
                <w:lang w:eastAsia="zh-CN"/>
              </w:rPr>
            </w:pPr>
            <w:r>
              <w:rPr>
                <w:lang w:eastAsia="zh-CN"/>
              </w:rPr>
              <w:t>ESA</w:t>
            </w:r>
          </w:p>
        </w:tc>
        <w:tc>
          <w:tcPr>
            <w:tcW w:w="8080" w:type="dxa"/>
            <w:vAlign w:val="center"/>
          </w:tcPr>
          <w:p w14:paraId="32149858" w14:textId="3FAF776A" w:rsidR="00EA021C" w:rsidRPr="00A8787F" w:rsidRDefault="00C92C7B" w:rsidP="00EA021C">
            <w:pPr>
              <w:spacing w:beforeLines="50" w:before="120" w:afterLines="50" w:after="120"/>
            </w:pPr>
            <w:r>
              <w:t>Agree. Set-1 is certainly applicable to eMTC.</w:t>
            </w:r>
          </w:p>
        </w:tc>
      </w:tr>
      <w:tr w:rsidR="00EA021C" w:rsidRPr="00A8787F" w14:paraId="10E22C5A" w14:textId="77777777" w:rsidTr="007F63E4">
        <w:trPr>
          <w:trHeight w:val="398"/>
          <w:jc w:val="center"/>
        </w:trPr>
        <w:tc>
          <w:tcPr>
            <w:tcW w:w="1559" w:type="dxa"/>
            <w:shd w:val="clear" w:color="auto" w:fill="auto"/>
            <w:vAlign w:val="center"/>
          </w:tcPr>
          <w:p w14:paraId="3AE82716" w14:textId="77777777" w:rsidR="00EA021C" w:rsidRPr="00A8787F" w:rsidRDefault="00EA021C" w:rsidP="00EA021C">
            <w:pPr>
              <w:snapToGrid w:val="0"/>
              <w:spacing w:after="0"/>
              <w:rPr>
                <w:lang w:eastAsia="zh-CN"/>
              </w:rPr>
            </w:pPr>
          </w:p>
        </w:tc>
        <w:tc>
          <w:tcPr>
            <w:tcW w:w="8080" w:type="dxa"/>
            <w:vAlign w:val="center"/>
          </w:tcPr>
          <w:p w14:paraId="77303EB2" w14:textId="77777777" w:rsidR="00EA021C" w:rsidRPr="00A8787F" w:rsidRDefault="00EA021C" w:rsidP="00EA021C">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RAN1 to study how accurately an eMTC/NB-IoT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lastRenderedPageBreak/>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4D8E28DA" w:rsidR="00C51CDF" w:rsidRPr="00A8787F" w:rsidRDefault="00C92C7B" w:rsidP="00C51CDF">
            <w:pPr>
              <w:snapToGrid w:val="0"/>
              <w:spacing w:after="0"/>
              <w:rPr>
                <w:lang w:eastAsia="zh-CN"/>
              </w:rPr>
            </w:pPr>
            <w:r>
              <w:rPr>
                <w:lang w:eastAsia="zh-CN"/>
              </w:rPr>
              <w:t>ESA</w:t>
            </w:r>
          </w:p>
        </w:tc>
        <w:tc>
          <w:tcPr>
            <w:tcW w:w="8080" w:type="dxa"/>
            <w:vAlign w:val="center"/>
          </w:tcPr>
          <w:p w14:paraId="5441EE42" w14:textId="7CF33556" w:rsidR="00C51CDF" w:rsidRPr="00A8787F" w:rsidRDefault="00C92C7B" w:rsidP="00C51CDF">
            <w:pPr>
              <w:tabs>
                <w:tab w:val="left" w:pos="1752"/>
              </w:tabs>
              <w:snapToGrid w:val="0"/>
              <w:spacing w:after="0"/>
              <w:jc w:val="both"/>
            </w:pPr>
            <w:r>
              <w:t>Agree</w:t>
            </w:r>
          </w:p>
        </w:tc>
      </w:tr>
      <w:tr w:rsidR="00C92C7B" w:rsidRPr="00A8787F" w14:paraId="699287CE" w14:textId="77777777" w:rsidTr="007F63E4">
        <w:trPr>
          <w:trHeight w:val="398"/>
          <w:jc w:val="center"/>
        </w:trPr>
        <w:tc>
          <w:tcPr>
            <w:tcW w:w="1559" w:type="dxa"/>
            <w:shd w:val="clear" w:color="auto" w:fill="auto"/>
            <w:vAlign w:val="center"/>
          </w:tcPr>
          <w:p w14:paraId="62E59600" w14:textId="77777777" w:rsidR="00C92C7B" w:rsidRDefault="00C92C7B" w:rsidP="00C51CDF">
            <w:pPr>
              <w:snapToGrid w:val="0"/>
              <w:spacing w:after="0"/>
              <w:rPr>
                <w:lang w:eastAsia="zh-CN"/>
              </w:rPr>
            </w:pPr>
          </w:p>
        </w:tc>
        <w:tc>
          <w:tcPr>
            <w:tcW w:w="8080" w:type="dxa"/>
            <w:vAlign w:val="center"/>
          </w:tcPr>
          <w:p w14:paraId="1CB868A0" w14:textId="77777777" w:rsidR="00C92C7B" w:rsidRDefault="00C92C7B"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15pt;height:115.35pt" o:ole="">
            <v:imagedata r:id="rId15" o:title=""/>
          </v:shape>
          <o:OLEObject Type="Embed" ProgID="Visio.Drawing.11" ShapeID="_x0000_i1025" DrawAspect="Content" ObjectID="_1673339640"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lastRenderedPageBreak/>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if detailed comments / justification are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1947F8E2" w:rsidR="00C51CDF" w:rsidRPr="00A8787F" w:rsidRDefault="00C92C7B" w:rsidP="00C51CDF">
            <w:pPr>
              <w:snapToGrid w:val="0"/>
              <w:spacing w:after="0"/>
              <w:rPr>
                <w:lang w:eastAsia="zh-CN"/>
              </w:rPr>
            </w:pPr>
            <w:r>
              <w:rPr>
                <w:lang w:eastAsia="zh-CN"/>
              </w:rPr>
              <w:t>ESA</w:t>
            </w:r>
          </w:p>
        </w:tc>
        <w:tc>
          <w:tcPr>
            <w:tcW w:w="8080" w:type="dxa"/>
            <w:vAlign w:val="center"/>
          </w:tcPr>
          <w:p w14:paraId="3A217149" w14:textId="524FA440" w:rsidR="00C51CDF" w:rsidRPr="00A8787F" w:rsidRDefault="00C92C7B" w:rsidP="00C92C7B">
            <w:pPr>
              <w:tabs>
                <w:tab w:val="left" w:pos="1752"/>
              </w:tabs>
              <w:snapToGrid w:val="0"/>
              <w:spacing w:after="0"/>
              <w:jc w:val="both"/>
            </w:pPr>
            <w:r>
              <w:t>As QCOM and Eutelsat, a further discussion is not necessary. 3dB beamwidth formulas were already presented and aligned in NR-NTN.</w:t>
            </w:r>
            <w:bookmarkStart w:id="7" w:name="_GoBack"/>
            <w:bookmarkEnd w:id="7"/>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lastRenderedPageBreak/>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lastRenderedPageBreak/>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lastRenderedPageBreak/>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lastRenderedPageBreak/>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lastRenderedPageBreak/>
              <w:t>Gatehouse, Sateliot,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lastRenderedPageBreak/>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lastRenderedPageBreak/>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lastRenderedPageBreak/>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lastRenderedPageBreak/>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 values cited in Section 2.1 assume high number (64 or higher) of repetitions.  R1-2100264 requests study on whether high number of repetition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2A40" w14:textId="77777777" w:rsidR="00002478" w:rsidRDefault="00002478">
      <w:r>
        <w:separator/>
      </w:r>
    </w:p>
  </w:endnote>
  <w:endnote w:type="continuationSeparator" w:id="0">
    <w:p w14:paraId="0E4F9171" w14:textId="77777777" w:rsidR="00002478" w:rsidRDefault="0000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E93A" w14:textId="77777777" w:rsidR="00002478" w:rsidRDefault="00002478">
      <w:r>
        <w:separator/>
      </w:r>
    </w:p>
  </w:footnote>
  <w:footnote w:type="continuationSeparator" w:id="0">
    <w:p w14:paraId="2BAE6ACB" w14:textId="77777777" w:rsidR="00002478" w:rsidRDefault="00002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2"/>
  </w:num>
  <w:num w:numId="3">
    <w:abstractNumId w:val="0"/>
  </w:num>
  <w:num w:numId="4">
    <w:abstractNumId w:val="15"/>
  </w:num>
  <w:num w:numId="5">
    <w:abstractNumId w:val="10"/>
  </w:num>
  <w:num w:numId="6">
    <w:abstractNumId w:val="1"/>
  </w:num>
  <w:num w:numId="7">
    <w:abstractNumId w:val="9"/>
  </w:num>
  <w:num w:numId="8">
    <w:abstractNumId w:val="11"/>
  </w:num>
  <w:num w:numId="9">
    <w:abstractNumId w:val="5"/>
  </w:num>
  <w:num w:numId="10">
    <w:abstractNumId w:val="6"/>
  </w:num>
  <w:num w:numId="11">
    <w:abstractNumId w:val="12"/>
  </w:num>
  <w:num w:numId="12">
    <w:abstractNumId w:val="4"/>
  </w:num>
  <w:num w:numId="13">
    <w:abstractNumId w:val="13"/>
  </w:num>
  <w:num w:numId="14">
    <w:abstractNumId w:val="14"/>
  </w:num>
  <w:num w:numId="15">
    <w:abstractNumId w:val="7"/>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38E"/>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22E7"/>
    <w:rsid w:val="00473182"/>
    <w:rsid w:val="00474A93"/>
    <w:rsid w:val="00475406"/>
    <w:rsid w:val="00476B2F"/>
    <w:rsid w:val="00476EF3"/>
    <w:rsid w:val="00476FC9"/>
    <w:rsid w:val="00477993"/>
    <w:rsid w:val="0048125D"/>
    <w:rsid w:val="00481B8C"/>
    <w:rsid w:val="00482271"/>
    <w:rsid w:val="004825DC"/>
    <w:rsid w:val="00482CB5"/>
    <w:rsid w:val="00482D25"/>
    <w:rsid w:val="00483CA2"/>
    <w:rsid w:val="0048451B"/>
    <w:rsid w:val="00484D69"/>
    <w:rsid w:val="00485876"/>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77F"/>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264C3A3-DA3C-44AF-9230-161F5FEC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11404</Words>
  <Characters>65007</Characters>
  <Application>Microsoft Office Word</Application>
  <DocSecurity>0</DocSecurity>
  <Lines>541</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76259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Stefano Cioni</cp:lastModifiedBy>
  <cp:revision>2</cp:revision>
  <cp:lastPrinted>2017-11-03T15:53:00Z</cp:lastPrinted>
  <dcterms:created xsi:type="dcterms:W3CDTF">2021-01-28T10:42:00Z</dcterms:created>
  <dcterms:modified xsi:type="dcterms:W3CDTF">2021-01-28T10:42:00Z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