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xml:space="preserve">: Spreadtrum, Xiaomi, ZTE, CATT, vivo, MTK, Intel, </w:t>
            </w:r>
            <w:proofErr w:type="spellStart"/>
            <w:r>
              <w:rPr>
                <w:sz w:val="18"/>
                <w:szCs w:val="20"/>
              </w:rPr>
              <w:t>Convida</w:t>
            </w:r>
            <w:proofErr w:type="spellEnd"/>
            <w:r>
              <w:rPr>
                <w:sz w:val="18"/>
                <w:szCs w:val="20"/>
              </w:rPr>
              <w:t>,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xml:space="preserve">, Alt1 can work only if QCL Type-A reference can be inferred via other means, </w:t>
            </w:r>
            <w:proofErr w:type="gramStart"/>
            <w:r>
              <w:rPr>
                <w:color w:val="3333FF"/>
                <w:sz w:val="20"/>
                <w:szCs w:val="20"/>
              </w:rPr>
              <w:t>e.g.</w:t>
            </w:r>
            <w:proofErr w:type="gramEnd"/>
            <w:r>
              <w:rPr>
                <w:color w:val="3333FF"/>
                <w:sz w:val="20"/>
                <w:szCs w:val="20"/>
              </w:rPr>
              <w:t xml:space="preserve">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39052800"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E774" w14:textId="15109A89" w:rsidR="00502032" w:rsidRPr="0096531D" w:rsidRDefault="00502032" w:rsidP="00502032">
            <w:pPr>
              <w:snapToGrid w:val="0"/>
              <w:rPr>
                <w:sz w:val="18"/>
                <w:szCs w:val="18"/>
                <w:lang w:val="en-GB"/>
              </w:rPr>
            </w:pPr>
          </w:p>
        </w:tc>
      </w:tr>
      <w:tr w:rsidR="00502032"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430CA1FE"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15DC649D" w:rsidR="00502032" w:rsidRDefault="00502032" w:rsidP="00502032">
            <w:pPr>
              <w:snapToGrid w:val="0"/>
              <w:rPr>
                <w:sz w:val="18"/>
              </w:rPr>
            </w:pPr>
          </w:p>
        </w:tc>
      </w:tr>
      <w:tr w:rsidR="00502032"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227B44E"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F67D" w14:textId="56AF67A3" w:rsidR="00502032" w:rsidRDefault="00502032" w:rsidP="00502032">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00261897"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2CEB" w14:textId="683CD0E0" w:rsidR="00502032" w:rsidRDefault="00502032" w:rsidP="00502032">
            <w:pPr>
              <w:snapToGrid w:val="0"/>
              <w:rPr>
                <w:rFonts w:eastAsia="Malgun Gothic"/>
                <w:sz w:val="18"/>
              </w:rPr>
            </w:pPr>
          </w:p>
        </w:tc>
      </w:tr>
      <w:tr w:rsidR="00502032"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AF98B33"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5150" w14:textId="508A0BF5" w:rsidR="00502032" w:rsidRDefault="00502032" w:rsidP="00502032">
            <w:pPr>
              <w:snapToGrid w:val="0"/>
              <w:rPr>
                <w:rFonts w:eastAsia="Malgun Gothic"/>
                <w:sz w:val="18"/>
              </w:rPr>
            </w:pP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5A3B376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C3B4" w14:textId="325DF98C" w:rsidR="00502032" w:rsidRDefault="00502032" w:rsidP="00502032">
            <w:pPr>
              <w:snapToGrid w:val="0"/>
              <w:rPr>
                <w:sz w:val="18"/>
                <w:lang w:eastAsia="zh-CN"/>
              </w:rPr>
            </w:pPr>
          </w:p>
        </w:tc>
      </w:tr>
      <w:tr w:rsidR="00502032"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43AA418"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C0C9" w14:textId="2CC9C942" w:rsidR="00502032" w:rsidRDefault="00502032" w:rsidP="00502032">
            <w:pPr>
              <w:snapToGrid w:val="0"/>
              <w:rPr>
                <w:sz w:val="18"/>
                <w:lang w:eastAsia="zh-CN"/>
              </w:rPr>
            </w:pPr>
          </w:p>
        </w:tc>
      </w:tr>
      <w:tr w:rsidR="00502032"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502032" w:rsidRDefault="00502032" w:rsidP="00502032">
            <w:pPr>
              <w:snapToGrid w:val="0"/>
              <w:rPr>
                <w:sz w:val="18"/>
                <w:lang w:eastAsia="zh-CN"/>
              </w:rPr>
            </w:pPr>
          </w:p>
        </w:tc>
      </w:tr>
      <w:tr w:rsidR="00502032"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502032" w:rsidRDefault="00502032" w:rsidP="00502032">
            <w:pPr>
              <w:snapToGrid w:val="0"/>
              <w:rPr>
                <w:sz w:val="18"/>
                <w:lang w:eastAsia="zh-CN"/>
              </w:rPr>
            </w:pPr>
          </w:p>
        </w:tc>
      </w:tr>
      <w:tr w:rsidR="00502032"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502032" w:rsidRDefault="00502032" w:rsidP="00502032">
            <w:pPr>
              <w:snapToGrid w:val="0"/>
              <w:rPr>
                <w:sz w:val="18"/>
                <w:lang w:eastAsia="zh-CN"/>
              </w:rPr>
            </w:pPr>
          </w:p>
        </w:tc>
      </w:tr>
      <w:tr w:rsidR="00502032"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502032" w:rsidRDefault="00502032" w:rsidP="00502032">
            <w:pPr>
              <w:pStyle w:val="NormalWe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xml:space="preserve">, </w:t>
            </w:r>
            <w:proofErr w:type="spellStart"/>
            <w:r w:rsidRPr="006F32F1">
              <w:rPr>
                <w:rFonts w:eastAsia="DengXian"/>
                <w:sz w:val="18"/>
                <w:szCs w:val="20"/>
              </w:rPr>
              <w:t>Futurewei</w:t>
            </w:r>
            <w:proofErr w:type="spellEnd"/>
            <w:r w:rsidRPr="006F32F1">
              <w:rPr>
                <w:rFonts w:eastAsia="DengXian"/>
                <w:sz w:val="18"/>
                <w:szCs w:val="20"/>
              </w:rPr>
              <w:t>, Huawei/</w:t>
            </w:r>
            <w:proofErr w:type="spellStart"/>
            <w:r w:rsidRPr="006F32F1">
              <w:rPr>
                <w:rFonts w:eastAsia="DengXian"/>
                <w:sz w:val="18"/>
                <w:szCs w:val="20"/>
              </w:rPr>
              <w:t>HiSi</w:t>
            </w:r>
            <w:proofErr w:type="spellEnd"/>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lastRenderedPageBreak/>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FFS: Metric for the measurement and reporting, </w:t>
            </w:r>
            <w:proofErr w:type="gramStart"/>
            <w:r w:rsidRPr="00D83F1B">
              <w:rPr>
                <w:rFonts w:eastAsia="Batang" w:cs="Times New Roman"/>
                <w:sz w:val="18"/>
                <w:szCs w:val="18"/>
                <w:lang w:val="en-GB"/>
              </w:rPr>
              <w:t>e.g.</w:t>
            </w:r>
            <w:proofErr w:type="gramEnd"/>
            <w:r w:rsidRPr="00D83F1B">
              <w:rPr>
                <w:rFonts w:eastAsia="Batang" w:cs="Times New Roman"/>
                <w:sz w:val="18"/>
                <w:szCs w:val="18"/>
                <w:lang w:val="en-GB"/>
              </w:rPr>
              <w:t xml:space="preserve">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2E9F6FBC" w:rsidR="00502032" w:rsidRDefault="00502032" w:rsidP="0050203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264E8DB7" w:rsidR="00502032" w:rsidRDefault="00502032"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31070500"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358E595D" w:rsidR="00502032" w:rsidRDefault="00502032" w:rsidP="00502032">
            <w:pPr>
              <w:snapToGrid w:val="0"/>
              <w:rPr>
                <w:sz w:val="18"/>
                <w:lang w:eastAsia="zh-CN"/>
              </w:rPr>
            </w:pPr>
          </w:p>
        </w:tc>
      </w:tr>
      <w:tr w:rsidR="00502032"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3D5641E4"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5579E06" w:rsidR="00502032" w:rsidRDefault="00502032" w:rsidP="00502032">
            <w:pPr>
              <w:snapToGrid w:val="0"/>
              <w:rPr>
                <w:sz w:val="18"/>
                <w:lang w:eastAsia="zh-CN"/>
              </w:rPr>
            </w:pP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4D99D6FF"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312AAF75" w:rsidR="00502032" w:rsidRDefault="00502032" w:rsidP="00502032">
            <w:pPr>
              <w:snapToGrid w:val="0"/>
              <w:rPr>
                <w:sz w:val="18"/>
                <w:lang w:eastAsia="zh-CN"/>
              </w:rPr>
            </w:pPr>
          </w:p>
        </w:tc>
      </w:tr>
      <w:tr w:rsidR="00502032"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3D1AA140"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21D9D705" w:rsidR="00502032" w:rsidRDefault="00502032" w:rsidP="00502032">
            <w:pPr>
              <w:snapToGrid w:val="0"/>
              <w:rPr>
                <w:sz w:val="18"/>
                <w:lang w:eastAsia="zh-CN"/>
              </w:rPr>
            </w:pP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41A8E4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D35" w14:textId="77777777" w:rsidR="00502032" w:rsidRDefault="00502032" w:rsidP="00502032">
            <w:pPr>
              <w:snapToGrid w:val="0"/>
              <w:rPr>
                <w:sz w:val="18"/>
                <w:lang w:eastAsia="zh-CN"/>
              </w:rPr>
            </w:pPr>
          </w:p>
        </w:tc>
      </w:tr>
      <w:tr w:rsidR="00502032"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5518DE5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07474B1A" w:rsidR="00502032" w:rsidRDefault="00502032" w:rsidP="00502032">
            <w:pPr>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w:t>
            </w:r>
            <w:proofErr w:type="spellStart"/>
            <w:r>
              <w:rPr>
                <w:sz w:val="18"/>
                <w:szCs w:val="20"/>
                <w:lang w:val="de-DE"/>
              </w:rPr>
              <w:t>Xiaomi</w:t>
            </w:r>
            <w:proofErr w:type="spellEnd"/>
            <w:r>
              <w:rPr>
                <w:sz w:val="18"/>
                <w:szCs w:val="20"/>
                <w:lang w:val="de-DE"/>
              </w:rPr>
              <w:t>,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w:t>
            </w:r>
            <w:proofErr w:type="spellStart"/>
            <w:r>
              <w:rPr>
                <w:sz w:val="18"/>
                <w:szCs w:val="20"/>
                <w:lang w:val="de-DE"/>
              </w:rPr>
              <w:t>MoM</w:t>
            </w:r>
            <w:proofErr w:type="spellEnd"/>
            <w:r>
              <w:rPr>
                <w:sz w:val="18"/>
                <w:szCs w:val="20"/>
                <w:lang w:val="de-DE"/>
              </w:rPr>
              <w:t xml:space="preserve">, Fujitsu, Nokia/NSB, CMCC, Apple, </w:t>
            </w:r>
            <w:proofErr w:type="spellStart"/>
            <w:r>
              <w:rPr>
                <w:sz w:val="18"/>
                <w:szCs w:val="20"/>
                <w:lang w:val="de-DE"/>
              </w:rPr>
              <w:t>Huawei</w:t>
            </w:r>
            <w:proofErr w:type="spellEnd"/>
            <w:r>
              <w:rPr>
                <w:sz w:val="18"/>
                <w:szCs w:val="20"/>
                <w:lang w:val="de-DE"/>
              </w:rPr>
              <w:t>/</w:t>
            </w:r>
            <w:proofErr w:type="spellStart"/>
            <w:r>
              <w:rPr>
                <w:sz w:val="18"/>
                <w:szCs w:val="20"/>
                <w:lang w:val="de-DE"/>
              </w:rPr>
              <w:t>HiSi</w:t>
            </w:r>
            <w:proofErr w:type="spellEnd"/>
            <w:r>
              <w:rPr>
                <w:sz w:val="18"/>
                <w:szCs w:val="20"/>
                <w:lang w:val="de-DE"/>
              </w:rPr>
              <w:t xml:space="preserve">, ZTE, vivo, Intel, Sony, Qualcomm, NTT </w:t>
            </w:r>
            <w:proofErr w:type="spellStart"/>
            <w:r>
              <w:rPr>
                <w:sz w:val="18"/>
                <w:szCs w:val="20"/>
                <w:lang w:val="de-DE"/>
              </w:rPr>
              <w:t>Docomo</w:t>
            </w:r>
            <w:proofErr w:type="spellEnd"/>
            <w:r>
              <w:rPr>
                <w:sz w:val="18"/>
                <w:szCs w:val="20"/>
                <w:lang w:val="de-DE"/>
              </w:rPr>
              <w:t xml:space="preserve">,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lastRenderedPageBreak/>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Alt1A: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the first slot that is at least X </w:t>
            </w:r>
            <w:proofErr w:type="spellStart"/>
            <w:r w:rsidRPr="0075184B">
              <w:rPr>
                <w:rFonts w:ascii="Times" w:eastAsia="Batang" w:hAnsi="Times" w:cs="Times New Roman"/>
                <w:color w:val="3333FF"/>
                <w:sz w:val="20"/>
                <w:szCs w:val="20"/>
                <w:lang w:val="en-GB" w:eastAsia="en-US"/>
              </w:rPr>
              <w:t>ms</w:t>
            </w:r>
            <w:proofErr w:type="spellEnd"/>
            <w:r w:rsidRPr="0075184B">
              <w:rPr>
                <w:rFonts w:ascii="Times" w:eastAsia="Batang" w:hAnsi="Times" w:cs="Times New Roman"/>
                <w:color w:val="3333FF"/>
                <w:sz w:val="20"/>
                <w:szCs w:val="20"/>
                <w:lang w:val="en-GB" w:eastAsia="en-US"/>
              </w:rPr>
              <w:t>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3BA49C98"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37B1D0D0" w:rsidR="00502032" w:rsidRPr="003439B6" w:rsidRDefault="00502032" w:rsidP="00502032">
            <w:pPr>
              <w:snapToGrid w:val="0"/>
              <w:rPr>
                <w:rFonts w:eastAsia="Malgun Gothic"/>
                <w:sz w:val="18"/>
                <w:szCs w:val="18"/>
              </w:rPr>
            </w:pPr>
          </w:p>
        </w:tc>
      </w:tr>
      <w:tr w:rsidR="00502032"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019B9B41"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7DB3" w14:textId="351855AD" w:rsidR="00502032" w:rsidRPr="003439B6" w:rsidRDefault="00502032" w:rsidP="00502032">
            <w:pPr>
              <w:snapToGrid w:val="0"/>
              <w:rPr>
                <w:rFonts w:eastAsia="Malgun Gothic"/>
                <w:sz w:val="18"/>
                <w:szCs w:val="18"/>
              </w:rPr>
            </w:pP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0E7F7C37"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499FB214" w:rsidR="00502032" w:rsidRPr="003439B6" w:rsidRDefault="00502032" w:rsidP="00502032">
            <w:pPr>
              <w:snapToGrid w:val="0"/>
              <w:rPr>
                <w:rFonts w:eastAsia="Malgun Gothic"/>
                <w:sz w:val="18"/>
                <w:szCs w:val="18"/>
              </w:rPr>
            </w:pPr>
          </w:p>
        </w:tc>
      </w:tr>
      <w:tr w:rsidR="00502032"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4C2A59"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4BCD0BD8" w:rsidR="00502032" w:rsidRPr="003439B6" w:rsidRDefault="00502032" w:rsidP="00502032">
            <w:pPr>
              <w:snapToGrid w:val="0"/>
              <w:rPr>
                <w:rFonts w:eastAsia="Malgun Gothic"/>
                <w:b/>
                <w:bCs/>
                <w:sz w:val="18"/>
                <w:szCs w:val="18"/>
              </w:rPr>
            </w:pP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53DCBDD1"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90159BF" w:rsidR="00502032" w:rsidRPr="003439B6" w:rsidRDefault="00502032" w:rsidP="00502032">
            <w:pPr>
              <w:snapToGrid w:val="0"/>
              <w:rPr>
                <w:rFonts w:eastAsia="Malgun Gothic"/>
                <w:sz w:val="18"/>
                <w:szCs w:val="18"/>
              </w:rPr>
            </w:pPr>
          </w:p>
        </w:tc>
      </w:tr>
      <w:tr w:rsidR="00502032"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B7CB45B"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566AD510" w:rsidR="00502032" w:rsidRPr="003439B6" w:rsidRDefault="00502032" w:rsidP="00502032">
            <w:pPr>
              <w:snapToGrid w:val="0"/>
              <w:rPr>
                <w:rFonts w:eastAsia="Malgun Gothic"/>
                <w:sz w:val="18"/>
                <w:szCs w:val="18"/>
              </w:rPr>
            </w:pPr>
          </w:p>
        </w:tc>
      </w:tr>
      <w:tr w:rsidR="0050203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502032" w:rsidRPr="003439B6" w:rsidRDefault="00502032" w:rsidP="00502032">
            <w:pPr>
              <w:snapToGrid w:val="0"/>
              <w:rPr>
                <w:rFonts w:eastAsia="Malgun Gothic"/>
                <w:sz w:val="18"/>
                <w:szCs w:val="18"/>
              </w:rPr>
            </w:pPr>
          </w:p>
        </w:tc>
      </w:tr>
      <w:tr w:rsidR="00502032"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502032" w:rsidRPr="003439B6" w:rsidRDefault="00502032" w:rsidP="00502032">
            <w:pPr>
              <w:snapToGrid w:val="0"/>
              <w:rPr>
                <w:rFonts w:eastAsia="Malgun Gothic"/>
                <w:sz w:val="18"/>
                <w:szCs w:val="18"/>
              </w:rPr>
            </w:pPr>
          </w:p>
        </w:tc>
      </w:tr>
      <w:tr w:rsidR="00502032"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502032" w:rsidRPr="003439B6" w:rsidRDefault="00502032" w:rsidP="00502032">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lastRenderedPageBreak/>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68FA236D"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70543174" w:rsidR="00502032" w:rsidRDefault="00502032" w:rsidP="00502032">
            <w:pPr>
              <w:snapToGrid w:val="0"/>
              <w:rPr>
                <w:sz w:val="18"/>
                <w:lang w:eastAsia="zh-CN"/>
              </w:rPr>
            </w:pPr>
          </w:p>
        </w:tc>
      </w:tr>
      <w:tr w:rsidR="00502032"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0423EC5B"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5F2E0934" w:rsidR="00502032" w:rsidRDefault="00502032" w:rsidP="00502032">
            <w:pPr>
              <w:snapToGrid w:val="0"/>
              <w:rPr>
                <w:sz w:val="18"/>
                <w:lang w:eastAsia="zh-CN"/>
              </w:rPr>
            </w:pP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36BB99DF" w:rsidR="00502032" w:rsidRPr="00550DBA"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7221" w14:textId="712F1814" w:rsidR="00502032" w:rsidRDefault="00502032" w:rsidP="00502032">
            <w:pPr>
              <w:snapToGrid w:val="0"/>
              <w:rPr>
                <w:sz w:val="18"/>
                <w:lang w:eastAsia="zh-CN"/>
              </w:rPr>
            </w:pPr>
          </w:p>
        </w:tc>
      </w:tr>
      <w:tr w:rsidR="00502032"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98DCF4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560ADB59" w:rsidR="00502032" w:rsidRDefault="00502032" w:rsidP="00502032">
            <w:pPr>
              <w:snapToGrid w:val="0"/>
              <w:rPr>
                <w:sz w:val="18"/>
                <w:lang w:eastAsia="zh-CN"/>
              </w:rPr>
            </w:pP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7FD35FD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9AA92EC" w:rsidR="00502032" w:rsidRDefault="00502032" w:rsidP="00502032">
            <w:pPr>
              <w:snapToGrid w:val="0"/>
              <w:rPr>
                <w:rFonts w:eastAsia="Malgun Gothic"/>
                <w:sz w:val="18"/>
                <w:szCs w:val="18"/>
              </w:rPr>
            </w:pPr>
          </w:p>
        </w:tc>
      </w:tr>
      <w:tr w:rsidR="00502032"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CE8AC44" w:rsidR="00502032"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6B10C1D3" w:rsidR="00502032" w:rsidRDefault="00502032" w:rsidP="00502032">
            <w:pPr>
              <w:snapToGrid w:val="0"/>
              <w:rPr>
                <w:rFonts w:eastAsia="Malgun Gothic"/>
                <w:sz w:val="18"/>
                <w:szCs w:val="18"/>
              </w:rPr>
            </w:pPr>
          </w:p>
        </w:tc>
      </w:tr>
      <w:tr w:rsidR="00502032"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502032" w:rsidRPr="00282BAD" w:rsidRDefault="00502032" w:rsidP="00502032">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lastRenderedPageBreak/>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 xml:space="preserve">FFS: Whether/how to include MPE effect in L1-RSRP [L1-SINR], </w:t>
            </w:r>
            <w:proofErr w:type="gramStart"/>
            <w:r w:rsidRPr="00702AAC">
              <w:rPr>
                <w:rFonts w:cs="Times New Roman"/>
                <w:sz w:val="18"/>
                <w:szCs w:val="18"/>
                <w:lang w:eastAsia="zh-CN"/>
              </w:rPr>
              <w:t>e.g.</w:t>
            </w:r>
            <w:proofErr w:type="gramEnd"/>
            <w:r w:rsidRPr="00702AAC">
              <w:rPr>
                <w:rFonts w:cs="Times New Roman"/>
                <w:sz w:val="18"/>
                <w:szCs w:val="18"/>
                <w:lang w:eastAsia="zh-CN"/>
              </w:rPr>
              <w:t xml:space="preserve">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FFS: Whether/how to include MPE effect in L1-RSRP [L1-SINR], </w:t>
            </w:r>
            <w:proofErr w:type="gramStart"/>
            <w:r w:rsidRPr="00702AAC">
              <w:rPr>
                <w:rFonts w:cs="Times New Roman"/>
                <w:sz w:val="18"/>
                <w:szCs w:val="22"/>
                <w:lang w:eastAsia="zh-CN"/>
              </w:rPr>
              <w:t>e.g.</w:t>
            </w:r>
            <w:proofErr w:type="gramEnd"/>
            <w:r w:rsidRPr="00702AAC">
              <w:rPr>
                <w:rFonts w:cs="Times New Roman"/>
                <w:sz w:val="18"/>
                <w:szCs w:val="22"/>
                <w:lang w:eastAsia="zh-CN"/>
              </w:rPr>
              <w:t xml:space="preserve">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include MPE effect in L1-RSRP [L1-SINR], </w:t>
            </w:r>
            <w:proofErr w:type="gramStart"/>
            <w:r w:rsidRPr="00702AAC">
              <w:rPr>
                <w:rFonts w:cs="Times New Roman"/>
                <w:sz w:val="20"/>
                <w:szCs w:val="20"/>
                <w:lang w:eastAsia="zh-CN"/>
              </w:rPr>
              <w:t>e.g.</w:t>
            </w:r>
            <w:proofErr w:type="gramEnd"/>
            <w:r w:rsidRPr="00702AAC">
              <w:rPr>
                <w:rFonts w:cs="Times New Roman"/>
                <w:sz w:val="20"/>
                <w:szCs w:val="20"/>
                <w:lang w:eastAsia="zh-CN"/>
              </w:rPr>
              <w:t xml:space="preserve">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502032"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40EA262C"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3C0903F8" w:rsidR="00502032" w:rsidRPr="00557967" w:rsidRDefault="00502032" w:rsidP="00502032">
            <w:pPr>
              <w:snapToGrid w:val="0"/>
              <w:rPr>
                <w:sz w:val="18"/>
                <w:szCs w:val="20"/>
              </w:rPr>
            </w:pP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04193121"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71C74118" w:rsidR="00502032" w:rsidRPr="00E6154C" w:rsidRDefault="00502032" w:rsidP="00502032">
            <w:pPr>
              <w:snapToGrid w:val="0"/>
              <w:rPr>
                <w:rFonts w:eastAsia="DengXian"/>
                <w:sz w:val="18"/>
                <w:szCs w:val="18"/>
                <w:lang w:eastAsia="zh-CN"/>
              </w:rPr>
            </w:pPr>
          </w:p>
        </w:tc>
      </w:tr>
      <w:tr w:rsidR="00502032"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6FEB8609" w:rsidR="00502032" w:rsidRPr="00CB7106"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557E78C2" w:rsidR="00502032" w:rsidRPr="00CB7106" w:rsidRDefault="00502032" w:rsidP="00502032">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4C31C108"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39820620" w:rsidR="00502032" w:rsidRDefault="00502032" w:rsidP="00502032">
            <w:pPr>
              <w:snapToGrid w:val="0"/>
              <w:rPr>
                <w:rFonts w:eastAsia="DengXian"/>
                <w:sz w:val="18"/>
                <w:szCs w:val="18"/>
                <w:lang w:eastAsia="zh-CN"/>
              </w:rPr>
            </w:pPr>
          </w:p>
        </w:tc>
      </w:tr>
      <w:tr w:rsidR="00502032"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1331AF35"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B9A" w14:textId="2BC72DB8" w:rsidR="00502032" w:rsidRDefault="00502032" w:rsidP="00502032">
            <w:pPr>
              <w:snapToGrid w:val="0"/>
              <w:rPr>
                <w:rFonts w:eastAsia="DengXian"/>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DBF61" w14:textId="77777777" w:rsidR="00B90A22" w:rsidRDefault="00B90A22">
      <w:r>
        <w:separator/>
      </w:r>
    </w:p>
  </w:endnote>
  <w:endnote w:type="continuationSeparator" w:id="0">
    <w:p w14:paraId="25087888" w14:textId="77777777" w:rsidR="00B90A22" w:rsidRDefault="00B9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FDCDE" w14:textId="77777777" w:rsidR="00B90A22" w:rsidRDefault="00B90A22">
      <w:r>
        <w:rPr>
          <w:color w:val="000000"/>
        </w:rPr>
        <w:separator/>
      </w:r>
    </w:p>
  </w:footnote>
  <w:footnote w:type="continuationSeparator" w:id="0">
    <w:p w14:paraId="5BA78FBB" w14:textId="77777777" w:rsidR="00B90A22" w:rsidRDefault="00B9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0"/>
  </w:num>
  <w:num w:numId="2">
    <w:abstractNumId w:val="3"/>
  </w:num>
  <w:num w:numId="3">
    <w:abstractNumId w:val="2"/>
  </w:num>
  <w:num w:numId="4">
    <w:abstractNumId w:val="10"/>
  </w:num>
  <w:num w:numId="5">
    <w:abstractNumId w:val="13"/>
  </w:num>
  <w:num w:numId="6">
    <w:abstractNumId w:val="24"/>
  </w:num>
  <w:num w:numId="7">
    <w:abstractNumId w:val="12"/>
  </w:num>
  <w:num w:numId="8">
    <w:abstractNumId w:val="9"/>
  </w:num>
  <w:num w:numId="9">
    <w:abstractNumId w:val="7"/>
  </w:num>
  <w:num w:numId="10">
    <w:abstractNumId w:val="5"/>
  </w:num>
  <w:num w:numId="11">
    <w:abstractNumId w:val="21"/>
  </w:num>
  <w:num w:numId="12">
    <w:abstractNumId w:val="23"/>
  </w:num>
  <w:num w:numId="13">
    <w:abstractNumId w:val="16"/>
  </w:num>
  <w:num w:numId="14">
    <w:abstractNumId w:val="18"/>
  </w:num>
  <w:num w:numId="15">
    <w:abstractNumId w:val="22"/>
  </w:num>
  <w:num w:numId="16">
    <w:abstractNumId w:val="17"/>
  </w:num>
  <w:num w:numId="17">
    <w:abstractNumId w:val="6"/>
  </w:num>
  <w:num w:numId="18">
    <w:abstractNumId w:val="15"/>
  </w:num>
  <w:num w:numId="19">
    <w:abstractNumId w:val="1"/>
  </w:num>
  <w:num w:numId="20">
    <w:abstractNumId w:val="14"/>
  </w:num>
  <w:num w:numId="21">
    <w:abstractNumId w:val="0"/>
  </w:num>
  <w:num w:numId="22">
    <w:abstractNumId w:val="19"/>
  </w:num>
  <w:num w:numId="23">
    <w:abstractNumId w:val="8"/>
  </w:num>
  <w:num w:numId="24">
    <w:abstractNumId w:val="11"/>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F0BDF-AF34-436D-8AC4-67B81091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2512</Words>
  <Characters>14322</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2021-02-02T05:09:00Z</dcterms:created>
  <dcterms:modified xsi:type="dcterms:W3CDTF">2021-02-02T05:09:00Z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