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63FC87EF" w14:textId="50FF8846" w:rsidR="004F0EAD" w:rsidRPr="009C3402" w:rsidRDefault="004F0EAD" w:rsidP="00684F16">
            <w:pPr>
              <w:snapToGrid w:val="0"/>
              <w:jc w:val="both"/>
              <w:rPr>
                <w:sz w:val="18"/>
                <w:szCs w:val="18"/>
              </w:rPr>
            </w:pPr>
            <w:r w:rsidRPr="00211C2A">
              <w:rPr>
                <w:sz w:val="18"/>
                <w:szCs w:val="18"/>
              </w:rPr>
              <w:t>QC: Agree with initial assessment.</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4EF8688D" w14:textId="447E745E" w:rsidR="004F0EAD" w:rsidRPr="009C3402" w:rsidRDefault="004F0EAD" w:rsidP="00684F16">
            <w:pPr>
              <w:snapToGrid w:val="0"/>
              <w:jc w:val="both"/>
              <w:rPr>
                <w:sz w:val="18"/>
                <w:szCs w:val="18"/>
              </w:rPr>
            </w:pPr>
            <w:r w:rsidRPr="00211C2A">
              <w:rPr>
                <w:sz w:val="18"/>
                <w:szCs w:val="18"/>
              </w:rPr>
              <w:t>QC: Agree with initial assessment.</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proofErr w:type="spellStart"/>
            <w:r w:rsidRPr="00297E04">
              <w:rPr>
                <w:rFonts w:eastAsia="DengXian"/>
                <w:i/>
                <w:sz w:val="18"/>
                <w:szCs w:val="18"/>
                <w:lang w:eastAsia="zh-CN"/>
              </w:rPr>
              <w:t>CrossCarrierSchdulingConfig</w:t>
            </w:r>
            <w:proofErr w:type="spellEnd"/>
            <w:r>
              <w:rPr>
                <w:rFonts w:eastAsia="DengXian"/>
                <w:sz w:val="18"/>
                <w:szCs w:val="18"/>
                <w:lang w:eastAsia="zh-CN"/>
              </w:rPr>
              <w:t>” field descriptions, the name is also “</w:t>
            </w:r>
            <w:proofErr w:type="spellStart"/>
            <w:r w:rsidRPr="00297E04">
              <w:rPr>
                <w:rFonts w:eastAsia="DengXian"/>
                <w:i/>
                <w:sz w:val="18"/>
                <w:szCs w:val="18"/>
                <w:lang w:eastAsia="zh-CN"/>
              </w:rPr>
              <w:t>enableDefaultBeamForCCS</w:t>
            </w:r>
            <w:proofErr w:type="spellEnd"/>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45678699" w:rsidR="004F0EAD" w:rsidRPr="00994D3D" w:rsidRDefault="004F0EAD" w:rsidP="00684F16">
            <w:pPr>
              <w:snapToGrid w:val="0"/>
              <w:jc w:val="both"/>
              <w:rPr>
                <w:rFonts w:eastAsia="DengXian"/>
                <w:sz w:val="18"/>
                <w:szCs w:val="18"/>
                <w:lang w:eastAsia="zh-CN"/>
              </w:rPr>
            </w:pPr>
            <w:r w:rsidRPr="00211C2A">
              <w:rPr>
                <w:sz w:val="18"/>
                <w:szCs w:val="18"/>
              </w:rPr>
              <w:t>QC: Agree with initial assessment.</w:t>
            </w:r>
          </w:p>
          <w:p w14:paraId="0B754325" w14:textId="44B74FCD" w:rsidR="00684F16" w:rsidRPr="009C3402" w:rsidRDefault="00684F16" w:rsidP="00684F16">
            <w:pPr>
              <w:snapToGrid w:val="0"/>
              <w:jc w:val="both"/>
              <w:rPr>
                <w:sz w:val="18"/>
                <w:szCs w:val="18"/>
              </w:rPr>
            </w:pP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330DD1B7" w14:textId="5E77B199" w:rsidR="004F0EAD" w:rsidRPr="009C3402" w:rsidRDefault="004F0EAD" w:rsidP="00684F16">
            <w:pPr>
              <w:snapToGrid w:val="0"/>
              <w:jc w:val="both"/>
              <w:rPr>
                <w:sz w:val="18"/>
                <w:szCs w:val="18"/>
              </w:rPr>
            </w:pPr>
            <w:r w:rsidRPr="00211C2A">
              <w:rPr>
                <w:sz w:val="18"/>
                <w:szCs w:val="18"/>
              </w:rPr>
              <w:t>QC: Agree with initial assessment.</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1787E6C1" w14:textId="671BE5AF" w:rsidR="004F0EAD" w:rsidRPr="009C3402" w:rsidRDefault="004F0EAD" w:rsidP="00684F16">
            <w:pPr>
              <w:snapToGrid w:val="0"/>
              <w:jc w:val="both"/>
              <w:rPr>
                <w:sz w:val="18"/>
                <w:szCs w:val="18"/>
              </w:rPr>
            </w:pPr>
            <w:r w:rsidRPr="00211C2A">
              <w:rPr>
                <w:sz w:val="18"/>
                <w:szCs w:val="18"/>
              </w:rPr>
              <w:t>QC: Agree with initial assessment.</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proofErr w:type="spellStart"/>
            <w:r w:rsidRPr="00A44CFC">
              <w:rPr>
                <w:rFonts w:hint="eastAsia"/>
                <w:bCs/>
                <w:i/>
                <w:iCs/>
                <w:sz w:val="18"/>
                <w:szCs w:val="18"/>
              </w:rPr>
              <w:t>failureDetectionResourcesToAddModList</w:t>
            </w:r>
            <w:proofErr w:type="spellEnd"/>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620ED94" w14:textId="1C0730F5" w:rsidR="004F0EAD" w:rsidRPr="009C3402" w:rsidRDefault="004F0EAD" w:rsidP="004F0EAD">
            <w:pPr>
              <w:snapToGrid w:val="0"/>
              <w:jc w:val="both"/>
              <w:rPr>
                <w:sz w:val="18"/>
                <w:szCs w:val="18"/>
              </w:rPr>
            </w:pPr>
            <w:r>
              <w:rPr>
                <w:sz w:val="18"/>
                <w:szCs w:val="18"/>
              </w:rPr>
              <w:t>QC: Agree with initial assessment.</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w:t>
            </w:r>
            <w:proofErr w:type="spellStart"/>
            <w:proofErr w:type="gramStart"/>
            <w:r>
              <w:rPr>
                <w:sz w:val="18"/>
                <w:szCs w:val="18"/>
              </w:rPr>
              <w:t>priority.because</w:t>
            </w:r>
            <w:proofErr w:type="spellEnd"/>
            <w:proofErr w:type="gramEnd"/>
            <w:r>
              <w:rPr>
                <w:sz w:val="18"/>
                <w:szCs w:val="18"/>
              </w:rPr>
              <w:t xml:space="preserv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77777777" w:rsidR="004F0EAD" w:rsidRDefault="004F0EAD" w:rsidP="004F0EAD">
            <w:pPr>
              <w:snapToGrid w:val="0"/>
              <w:jc w:val="both"/>
              <w:rPr>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BFD0D91" w14:textId="0F1D9BB3" w:rsidR="004F0EAD" w:rsidRPr="009C3402" w:rsidRDefault="004F0EAD" w:rsidP="00684F16">
            <w:pPr>
              <w:snapToGrid w:val="0"/>
              <w:jc w:val="both"/>
              <w:rPr>
                <w:sz w:val="18"/>
                <w:szCs w:val="18"/>
              </w:rPr>
            </w:pP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lastRenderedPageBreak/>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w:t>
            </w:r>
            <w:proofErr w:type="spellStart"/>
            <w:r>
              <w:rPr>
                <w:bCs/>
                <w:iCs/>
                <w:sz w:val="18"/>
                <w:szCs w:val="18"/>
              </w:rPr>
              <w:t>CORESEPoolIndex</w:t>
            </w:r>
            <w:proofErr w:type="spellEnd"/>
            <w:r>
              <w:rPr>
                <w:bCs/>
                <w:iCs/>
                <w:sz w:val="18"/>
                <w:szCs w:val="18"/>
              </w:rPr>
              <w:t xml:space="preserve">=0 for all CORESETs for mDCI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5A62E57A" w14:textId="10BB2493" w:rsidR="004F0EAD" w:rsidRPr="009C3402" w:rsidRDefault="004F0EAD" w:rsidP="00684F16">
            <w:pPr>
              <w:snapToGrid w:val="0"/>
              <w:jc w:val="both"/>
              <w:rPr>
                <w:sz w:val="18"/>
                <w:szCs w:val="18"/>
              </w:rPr>
            </w:pPr>
            <w:r>
              <w:rPr>
                <w:sz w:val="18"/>
                <w:szCs w:val="18"/>
              </w:rPr>
              <w:t>QC: Not essential. Agree with LG.</w:t>
            </w: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77777777" w:rsidR="004F0EAD" w:rsidRDefault="004F0EAD" w:rsidP="004F0EAD">
            <w:pPr>
              <w:snapToGrid w:val="0"/>
              <w:jc w:val="both"/>
              <w:rPr>
                <w:sz w:val="18"/>
                <w:szCs w:val="18"/>
              </w:rPr>
            </w:pPr>
            <w:r>
              <w:rPr>
                <w:sz w:val="18"/>
                <w:szCs w:val="18"/>
              </w:rPr>
              <w:t>QC: Agree with initial assessment.</w:t>
            </w:r>
          </w:p>
          <w:p w14:paraId="20AF728B" w14:textId="2E1C18D2" w:rsidR="004F0EAD" w:rsidRPr="009C3402" w:rsidRDefault="004F0EAD" w:rsidP="00684F16">
            <w:pPr>
              <w:snapToGrid w:val="0"/>
              <w:jc w:val="both"/>
              <w:rPr>
                <w:sz w:val="18"/>
                <w:szCs w:val="18"/>
              </w:rPr>
            </w:pP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 xml:space="preserve">Clarify that one of the conditions to apply </w:t>
            </w:r>
            <w:proofErr w:type="spellStart"/>
            <w:r>
              <w:rPr>
                <w:bCs/>
                <w:iCs/>
                <w:sz w:val="18"/>
                <w:szCs w:val="18"/>
              </w:rPr>
              <w:t>q_new</w:t>
            </w:r>
            <w:proofErr w:type="spellEnd"/>
            <w:r>
              <w:rPr>
                <w:bCs/>
                <w:iCs/>
                <w:sz w:val="18"/>
                <w:szCs w:val="18"/>
              </w:rPr>
              <w:t xml:space="preserve"> to PUCCH after BFR should be that UE identified a </w:t>
            </w:r>
            <w:proofErr w:type="spellStart"/>
            <w:r>
              <w:rPr>
                <w:bCs/>
                <w:iCs/>
                <w:sz w:val="18"/>
                <w:szCs w:val="18"/>
              </w:rPr>
              <w:t>q_new</w:t>
            </w:r>
            <w:proofErr w:type="spellEnd"/>
            <w:r>
              <w:rPr>
                <w:bCs/>
                <w:iCs/>
                <w:sz w:val="18"/>
                <w:szCs w:val="18"/>
              </w:rPr>
              <w:t xml:space="preserve">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77777777" w:rsidR="004F0EAD" w:rsidRDefault="004F0EAD" w:rsidP="004F0EAD">
            <w:pPr>
              <w:snapToGrid w:val="0"/>
              <w:jc w:val="both"/>
              <w:rPr>
                <w:sz w:val="18"/>
                <w:szCs w:val="18"/>
              </w:rPr>
            </w:pPr>
            <w:r>
              <w:rPr>
                <w:sz w:val="18"/>
                <w:szCs w:val="18"/>
              </w:rPr>
              <w:t>QC: Agree with initial assessment.</w:t>
            </w:r>
          </w:p>
          <w:p w14:paraId="0F0D61B3" w14:textId="6DDBA07E" w:rsidR="004F0EAD" w:rsidRPr="009C3402" w:rsidRDefault="004F0EAD" w:rsidP="00684F16">
            <w:pPr>
              <w:snapToGrid w:val="0"/>
              <w:jc w:val="both"/>
              <w:rPr>
                <w:sz w:val="18"/>
                <w:szCs w:val="18"/>
              </w:rPr>
            </w:pP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xml:space="preserve">. Otherwise, MDCI based MTRP cannot work in FR1 because close loop index is always 0 in some typical cases as discussed in our </w:t>
            </w:r>
            <w:proofErr w:type="spellStart"/>
            <w:r>
              <w:rPr>
                <w:rFonts w:eastAsia="DengXian"/>
                <w:bCs/>
                <w:iCs/>
                <w:sz w:val="18"/>
                <w:szCs w:val="18"/>
                <w:lang w:eastAsia="zh-CN"/>
              </w:rPr>
              <w:t>tdoc</w:t>
            </w:r>
            <w:proofErr w:type="spellEnd"/>
            <w:r>
              <w:rPr>
                <w:rFonts w:eastAsia="DengXian"/>
                <w:bCs/>
                <w:iCs/>
                <w:sz w:val="18"/>
                <w:szCs w:val="18"/>
                <w:lang w:eastAsia="zh-CN"/>
              </w:rPr>
              <w:t>.</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11BFF812" w14:textId="77777777" w:rsidR="004F0EAD" w:rsidRDefault="004F0EAD" w:rsidP="004F0EAD">
            <w:pPr>
              <w:snapToGrid w:val="0"/>
              <w:jc w:val="both"/>
              <w:rPr>
                <w:sz w:val="18"/>
                <w:szCs w:val="18"/>
              </w:rPr>
            </w:pPr>
            <w:r>
              <w:rPr>
                <w:sz w:val="18"/>
                <w:szCs w:val="18"/>
              </w:rPr>
              <w:t xml:space="preserve">QC: Given the note was added in UE feature, we think it is better for this issue to be handled there. </w:t>
            </w:r>
          </w:p>
          <w:p w14:paraId="5CA99E2E" w14:textId="7B3B68B2" w:rsidR="004F0EAD" w:rsidRPr="00CB20F5" w:rsidRDefault="004F0EAD" w:rsidP="00684F16">
            <w:pPr>
              <w:snapToGrid w:val="0"/>
              <w:jc w:val="both"/>
              <w:rPr>
                <w:bCs/>
                <w:iCs/>
                <w:sz w:val="18"/>
                <w:szCs w:val="18"/>
              </w:rPr>
            </w:pP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1A14D792" w14:textId="31D83CFA" w:rsidR="004F0EAD" w:rsidRP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xml:space="preserve">) proposed that If a UE detects two DCIs indicating a same active DL BWP change in a same slot, the UE is not required to receive or transmit in the cell during a time duration from the end of the third symbol of a slot where the UE receives </w:t>
            </w:r>
            <w:r w:rsidRPr="00D563C8">
              <w:rPr>
                <w:rFonts w:cs="Times New Roman"/>
                <w:sz w:val="18"/>
                <w:szCs w:val="18"/>
              </w:rPr>
              <w:lastRenderedPageBreak/>
              <w:t>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lastRenderedPageBreak/>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4C99E5FC" w14:textId="3712EA5E" w:rsidR="004F0EAD" w:rsidRPr="00CB20F5" w:rsidRDefault="004F0EAD" w:rsidP="00684F16">
            <w:pPr>
              <w:snapToGrid w:val="0"/>
              <w:jc w:val="both"/>
              <w:rPr>
                <w:bCs/>
                <w:iCs/>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7F65670D" w14:textId="6E7F3CC7" w:rsidR="004F0EAD" w:rsidRPr="00CB20F5" w:rsidRDefault="004F0EAD" w:rsidP="00684F16">
            <w:pPr>
              <w:snapToGrid w:val="0"/>
              <w:jc w:val="both"/>
              <w:rPr>
                <w:bCs/>
                <w:iCs/>
                <w:sz w:val="18"/>
                <w:szCs w:val="18"/>
              </w:rPr>
            </w:pPr>
            <w:r>
              <w:rPr>
                <w:bCs/>
                <w:iCs/>
                <w:sz w:val="18"/>
                <w:szCs w:val="18"/>
              </w:rPr>
              <w:t xml:space="preserve">QC: Issue 1 is not clear since rate matching and </w:t>
            </w:r>
            <w:proofErr w:type="spellStart"/>
            <w:r>
              <w:rPr>
                <w:bCs/>
                <w:iCs/>
                <w:sz w:val="18"/>
                <w:szCs w:val="18"/>
              </w:rPr>
              <w:t>OoO</w:t>
            </w:r>
            <w:proofErr w:type="spellEnd"/>
            <w:r>
              <w:rPr>
                <w:bCs/>
                <w:iCs/>
                <w:sz w:val="18"/>
                <w:szCs w:val="18"/>
              </w:rPr>
              <w:t xml:space="preserve">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tc>
      </w:tr>
      <w:tr w:rsidR="00684F16" w:rsidRPr="009C3402" w14:paraId="769C2E31" w14:textId="77777777" w:rsidTr="007949F1">
        <w:tc>
          <w:tcPr>
            <w:tcW w:w="723" w:type="dxa"/>
          </w:tcPr>
          <w:p w14:paraId="60E324EB" w14:textId="031DAC9E"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proofErr w:type="spellStart"/>
            <w:r w:rsidRPr="001F7578">
              <w:rPr>
                <w:rFonts w:ascii="Times New Roman" w:hAnsi="Times New Roman" w:cs="Times New Roman"/>
                <w:sz w:val="18"/>
                <w:szCs w:val="18"/>
              </w:rPr>
              <w:t>ASUSTeK</w:t>
            </w:r>
            <w:proofErr w:type="spellEnd"/>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t xml:space="preserve">vivo, Samsung, </w:t>
            </w:r>
            <w:proofErr w:type="spellStart"/>
            <w:r>
              <w:rPr>
                <w:sz w:val="18"/>
                <w:szCs w:val="18"/>
              </w:rPr>
              <w:t>ASUSTek</w:t>
            </w:r>
            <w:proofErr w:type="spellEnd"/>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BBB2C38" w14:textId="2B168696" w:rsidR="00684F16" w:rsidRP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lastRenderedPageBreak/>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w:t>
            </w:r>
            <w:proofErr w:type="spellStart"/>
            <w:r w:rsidRPr="009C3402">
              <w:rPr>
                <w:rFonts w:ascii="Times New Roman" w:hAnsi="Times New Roman" w:cs="Times New Roman"/>
                <w:sz w:val="18"/>
                <w:szCs w:val="18"/>
              </w:rPr>
              <w:t>rvid</w:t>
            </w:r>
            <w:proofErr w:type="spellEnd"/>
            <w:r w:rsidRPr="009C3402">
              <w:rPr>
                <w:rFonts w:ascii="Times New Roman" w:hAnsi="Times New Roman" w:cs="Times New Roman"/>
                <w:sz w:val="18"/>
                <w:szCs w:val="18"/>
              </w:rPr>
              <w:t>=0.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lastRenderedPageBreak/>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lastRenderedPageBreak/>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0008C3AA" w14:textId="27461133" w:rsidR="004F0EAD" w:rsidRPr="00684F16" w:rsidRDefault="004F0EAD" w:rsidP="00684F16">
            <w:pPr>
              <w:snapToGrid w:val="0"/>
              <w:jc w:val="both"/>
              <w:rPr>
                <w:sz w:val="18"/>
                <w:szCs w:val="18"/>
              </w:rPr>
            </w:pP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76E5EC12" w14:textId="649FE0BA" w:rsidR="004F0EAD" w:rsidRPr="00CB20F5" w:rsidRDefault="004F0EAD" w:rsidP="00684F16">
            <w:pPr>
              <w:snapToGrid w:val="0"/>
              <w:jc w:val="both"/>
              <w:rPr>
                <w:bCs/>
                <w:iCs/>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Huawei/HiSi</w:t>
            </w:r>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64BE6C60" w:rsidR="004F0EAD" w:rsidRDefault="004F0EAD" w:rsidP="00684F16">
            <w:pPr>
              <w:snapToGrid w:val="0"/>
              <w:jc w:val="both"/>
              <w:rPr>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27FDF419" w14:textId="24ACB423" w:rsidR="004F0EAD" w:rsidRPr="00684F16" w:rsidRDefault="004F0EAD" w:rsidP="00684F16">
            <w:pPr>
              <w:snapToGrid w:val="0"/>
              <w:jc w:val="both"/>
              <w:rPr>
                <w:rFonts w:eastAsia="DengXian"/>
                <w:bCs/>
                <w:iCs/>
                <w:sz w:val="18"/>
                <w:szCs w:val="18"/>
                <w:lang w:eastAsia="zh-CN"/>
              </w:rPr>
            </w:pP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 xml:space="preserve">Qualcomm (R1-2101441) proposed to reset the mapping of all TCI codepoints of PDSCH to </w:t>
            </w:r>
            <w:proofErr w:type="spellStart"/>
            <w:r w:rsidRPr="008C3400">
              <w:rPr>
                <w:rFonts w:ascii="Times New Roman" w:hAnsi="Times New Roman" w:cs="Times New Roman"/>
                <w:sz w:val="18"/>
                <w:szCs w:val="18"/>
              </w:rPr>
              <w:t>qnew</w:t>
            </w:r>
            <w:proofErr w:type="spellEnd"/>
            <w:r w:rsidRPr="008C3400">
              <w:rPr>
                <w:rFonts w:ascii="Times New Roman" w:hAnsi="Times New Roman" w:cs="Times New Roman"/>
                <w:sz w:val="18"/>
                <w:szCs w:val="18"/>
              </w:rPr>
              <w:t xml:space="preserve"> after BFR in S-DCI based mTRP system.</w:t>
            </w:r>
          </w:p>
          <w:p w14:paraId="26ED70E4" w14:textId="0FEF0DE0" w:rsidR="00684F16" w:rsidRPr="009B6D2D" w:rsidRDefault="00684F16" w:rsidP="00684F16">
            <w:pPr>
              <w:snapToGrid w:val="0"/>
              <w:jc w:val="both"/>
              <w:rPr>
                <w:sz w:val="18"/>
                <w:szCs w:val="18"/>
              </w:rPr>
            </w:pPr>
            <w:r>
              <w:rPr>
                <w:sz w:val="18"/>
                <w:szCs w:val="18"/>
              </w:rPr>
              <w:lastRenderedPageBreak/>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lastRenderedPageBreak/>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w:t>
            </w:r>
            <w:proofErr w:type="spellStart"/>
            <w:r>
              <w:rPr>
                <w:sz w:val="18"/>
                <w:szCs w:val="18"/>
              </w:rPr>
              <w:t>sDCI</w:t>
            </w:r>
            <w:proofErr w:type="spellEnd"/>
            <w:r>
              <w:rPr>
                <w:sz w:val="18"/>
                <w:szCs w:val="18"/>
              </w:rPr>
              <w:t xml:space="preserve"> based </w:t>
            </w:r>
            <w:proofErr w:type="spellStart"/>
            <w:r>
              <w:rPr>
                <w:sz w:val="18"/>
                <w:szCs w:val="18"/>
              </w:rPr>
              <w:t>mTRP</w:t>
            </w:r>
            <w:proofErr w:type="spellEnd"/>
            <w:r>
              <w:rPr>
                <w:sz w:val="18"/>
                <w:szCs w:val="18"/>
              </w:rPr>
              <w:t xml:space="preserve"> </w:t>
            </w:r>
            <w:proofErr w:type="spellStart"/>
            <w:r>
              <w:rPr>
                <w:sz w:val="18"/>
                <w:szCs w:val="18"/>
              </w:rPr>
              <w:t>wrt</w:t>
            </w:r>
            <w:proofErr w:type="spellEnd"/>
            <w:r>
              <w:rPr>
                <w:sz w:val="18"/>
                <w:szCs w:val="18"/>
              </w:rPr>
              <w:t xml:space="preserve"> default beams. Hence, Rel. 15/16 discussions in multi-beam are unrelated / </w:t>
            </w:r>
            <w:r>
              <w:rPr>
                <w:sz w:val="18"/>
                <w:szCs w:val="18"/>
              </w:rPr>
              <w:lastRenderedPageBreak/>
              <w:t xml:space="preserve">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4F1AC6E7" w14:textId="25DAE560" w:rsidR="00684F16" w:rsidRPr="00684F16" w:rsidRDefault="00684F16" w:rsidP="00684F16">
            <w:pPr>
              <w:snapToGrid w:val="0"/>
              <w:jc w:val="both"/>
              <w:rPr>
                <w:rFonts w:eastAsia="DengXian"/>
                <w:bCs/>
                <w:iCs/>
                <w:sz w:val="18"/>
                <w:szCs w:val="18"/>
                <w:lang w:eastAsia="zh-CN"/>
              </w:rPr>
            </w:pP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5270BB01" w14:textId="779AF633" w:rsidR="004F0EAD" w:rsidRPr="00CB20F5" w:rsidRDefault="004F0EAD" w:rsidP="00684F16">
            <w:pPr>
              <w:snapToGrid w:val="0"/>
              <w:jc w:val="both"/>
              <w:rPr>
                <w:bCs/>
                <w:iCs/>
                <w:sz w:val="18"/>
                <w:szCs w:val="18"/>
              </w:rPr>
            </w:pPr>
            <w:r>
              <w:rPr>
                <w:sz w:val="18"/>
                <w:szCs w:val="18"/>
              </w:rPr>
              <w:t>QC: The behavior for multi-DCI and NR-DC is not defined in the current spec.</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zh-CN"/>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7864161" w14:textId="67DABEE4" w:rsidR="00684F16" w:rsidRPr="00CB20F5" w:rsidRDefault="00684F16" w:rsidP="00684F16">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w:t>
            </w:r>
            <w:proofErr w:type="spellStart"/>
            <w:r>
              <w:rPr>
                <w:sz w:val="18"/>
                <w:szCs w:val="18"/>
              </w:rPr>
              <w:t>necessarity</w:t>
            </w:r>
            <w:proofErr w:type="spellEnd"/>
            <w:r>
              <w:rPr>
                <w:sz w:val="18"/>
                <w:szCs w:val="18"/>
              </w:rPr>
              <w:t xml:space="preserve">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lastRenderedPageBreak/>
              <w:t xml:space="preserve">ZTE (R1-2100281) proposed to remove the “when </w:t>
            </w:r>
            <w:proofErr w:type="spellStart"/>
            <w:r w:rsidRPr="003C5347">
              <w:rPr>
                <w:rFonts w:ascii="Times New Roman" w:hAnsi="Times New Roman" w:cs="Times New Roman"/>
                <w:sz w:val="18"/>
                <w:szCs w:val="18"/>
              </w:rPr>
              <w:t>sequenceOffsetforRV</w:t>
            </w:r>
            <w:proofErr w:type="spellEnd"/>
            <w:r w:rsidRPr="003C5347">
              <w:rPr>
                <w:rFonts w:ascii="Times New Roman" w:hAnsi="Times New Roman" w:cs="Times New Roman"/>
                <w:sz w:val="18"/>
                <w:szCs w:val="18"/>
              </w:rPr>
              <w:t xml:space="preserve">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 xml:space="preserve">If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 xml:space="preserve">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4BC7E7E8" w14:textId="39757A63" w:rsidR="004F0EAD" w:rsidRPr="00CB20F5" w:rsidRDefault="004F0EAD" w:rsidP="00684F16">
            <w:pPr>
              <w:snapToGrid w:val="0"/>
              <w:jc w:val="both"/>
              <w:rPr>
                <w:bCs/>
                <w:iCs/>
                <w:sz w:val="18"/>
                <w:szCs w:val="18"/>
              </w:rPr>
            </w:pPr>
            <w:r>
              <w:rPr>
                <w:bCs/>
                <w:iCs/>
                <w:sz w:val="18"/>
                <w:szCs w:val="18"/>
              </w:rPr>
              <w:t>QC: Ok to discuss.</w:t>
            </w: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Huawei/HiSi</w:t>
            </w:r>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42754A97" w:rsidR="004F0EAD" w:rsidRPr="00D354C0"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59A3015E" w14:textId="106A2C62" w:rsidR="00684F16" w:rsidRPr="00A61441" w:rsidRDefault="00684F16" w:rsidP="00684F16">
            <w:pPr>
              <w:snapToGrid w:val="0"/>
              <w:jc w:val="both"/>
              <w:rPr>
                <w:bCs/>
                <w:iCs/>
                <w:sz w:val="18"/>
                <w:szCs w:val="18"/>
              </w:rPr>
            </w:pP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lastRenderedPageBreak/>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zh-CN"/>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13.8pt;mso-width-percent:0;mso-height-percent:0;mso-width-percent:0;mso-height-percent:0" o:ole="">
                  <v:imagedata r:id="rId13" o:title=""/>
                </v:shape>
                <o:OLEObject Type="Embed" ProgID="Equation.3" ShapeID="_x0000_i1025" DrawAspect="Content" ObjectID="_1672644447"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646B8A6A" w14:textId="6FC3AB1E" w:rsidR="00D354C0" w:rsidRPr="006F0340" w:rsidRDefault="00D354C0" w:rsidP="00D354C0">
            <w:pPr>
              <w:snapToGrid w:val="0"/>
              <w:jc w:val="both"/>
              <w:rPr>
                <w:rFonts w:eastAsia="DengXian"/>
                <w:sz w:val="18"/>
                <w:szCs w:val="18"/>
                <w:lang w:eastAsia="zh-CN"/>
              </w:rPr>
            </w:pPr>
            <w:r>
              <w:rPr>
                <w:rFonts w:eastAsia="DengXian"/>
                <w:sz w:val="18"/>
                <w:szCs w:val="18"/>
                <w:lang w:eastAsia="zh-CN"/>
              </w:rPr>
              <w:t>QC</w:t>
            </w:r>
            <w:r>
              <w:rPr>
                <w:rFonts w:eastAsia="DengXian"/>
                <w:sz w:val="18"/>
                <w:szCs w:val="18"/>
                <w:lang w:eastAsia="zh-CN"/>
              </w:rPr>
              <w:t>: Agree with FL’s assessment.</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00E8EA41" w14:textId="4BAD55D1" w:rsidR="00684F16" w:rsidRPr="00995DAB" w:rsidRDefault="00684F16" w:rsidP="00684F16">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684F16" w:rsidRPr="009C3402" w:rsidRDefault="00684F16" w:rsidP="00684F16">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6B7461E7" w14:textId="4D332AED" w:rsidR="00D354C0" w:rsidRPr="00D354C0" w:rsidRDefault="00D354C0" w:rsidP="00D354C0">
            <w:pPr>
              <w:snapToGrid w:val="0"/>
              <w:jc w:val="both"/>
              <w:rPr>
                <w:bCs/>
                <w:sz w:val="18"/>
                <w:szCs w:val="18"/>
                <w:lang w:eastAsia="en-US"/>
              </w:rPr>
            </w:pPr>
            <w:r>
              <w:rPr>
                <w:bCs/>
                <w:sz w:val="18"/>
                <w:szCs w:val="18"/>
                <w:lang w:eastAsia="en-US"/>
              </w:rPr>
              <w:t xml:space="preserve">QC: Not essential. This should be demoted. </w:t>
            </w: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lastRenderedPageBreak/>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TableGrid"/>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lastRenderedPageBreak/>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 xml:space="preserve">Corrections on </w:t>
            </w:r>
            <w:proofErr w:type="spellStart"/>
            <w:r w:rsidRPr="005F142C">
              <w:rPr>
                <w:sz w:val="20"/>
                <w:szCs w:val="20"/>
              </w:rPr>
              <w:t>Scell</w:t>
            </w:r>
            <w:proofErr w:type="spellEnd"/>
            <w:r w:rsidRPr="005F142C">
              <w:rPr>
                <w:sz w:val="20"/>
                <w:szCs w:val="20"/>
              </w:rPr>
              <w:t xml:space="preserve">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proofErr w:type="spellStart"/>
            <w:r w:rsidRPr="005F142C">
              <w:rPr>
                <w:sz w:val="20"/>
                <w:szCs w:val="20"/>
              </w:rPr>
              <w:t>ASUSTeK</w:t>
            </w:r>
            <w:proofErr w:type="spellEnd"/>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595A7" w14:textId="77777777" w:rsidR="008E1ED8" w:rsidRDefault="008E1ED8" w:rsidP="00FE429F">
      <w:r>
        <w:separator/>
      </w:r>
    </w:p>
  </w:endnote>
  <w:endnote w:type="continuationSeparator" w:id="0">
    <w:p w14:paraId="3B2735BE" w14:textId="77777777" w:rsidR="008E1ED8" w:rsidRDefault="008E1ED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FC947" w14:textId="77777777" w:rsidR="008E1ED8" w:rsidRDefault="008E1ED8" w:rsidP="00FE429F">
      <w:r>
        <w:separator/>
      </w:r>
    </w:p>
  </w:footnote>
  <w:footnote w:type="continuationSeparator" w:id="0">
    <w:p w14:paraId="415CED13" w14:textId="77777777" w:rsidR="008E1ED8" w:rsidRDefault="008E1ED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3538"/>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DD0E3-42ED-BE48-916B-DDBA0094706D}">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3294</Words>
  <Characters>18782</Characters>
  <Application>Microsoft Office Word</Application>
  <DocSecurity>0</DocSecurity>
  <Lines>156</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Mostafa Khoshnevisan</cp:lastModifiedBy>
  <cp:revision>8</cp:revision>
  <dcterms:created xsi:type="dcterms:W3CDTF">2021-01-20T13:42:00Z</dcterms:created>
  <dcterms:modified xsi:type="dcterms:W3CDTF">2021-01-20T18:41:00Z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