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68.45pt" o:ole="">
            <v:imagedata r:id="rId15" o:title=""/>
          </v:shape>
          <o:OLEObject Type="Embed" ProgID="Visio.Drawing.11" ShapeID="_x0000_i1025" DrawAspect="Content" ObjectID="_1673163282"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proofErr w:type="gramStart"/>
            <w:r w:rsidRPr="00E6318E">
              <w:rPr>
                <w:lang w:val="en-GB"/>
              </w:rPr>
              <w:t>However</w:t>
            </w:r>
            <w:proofErr w:type="gramEnd"/>
            <w:r w:rsidRPr="00E6318E">
              <w:rPr>
                <w:lang w:val="en-GB"/>
              </w:rPr>
              <w:t xml:space="preserve">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hint="eastAsia"/>
                <w:szCs w:val="20"/>
                <w:lang w:eastAsia="zh-CN"/>
              </w:rPr>
            </w:pPr>
            <w:r>
              <w:rPr>
                <w:rFonts w:eastAsia="MS Mincho"/>
                <w:szCs w:val="20"/>
                <w:lang w:eastAsia="ja-JP"/>
              </w:rPr>
              <w:lastRenderedPageBreak/>
              <w:t>Qualcomm</w:t>
            </w:r>
          </w:p>
        </w:tc>
        <w:tc>
          <w:tcPr>
            <w:tcW w:w="7222" w:type="dxa"/>
          </w:tcPr>
          <w:p w14:paraId="3A16722A" w14:textId="623C3B0B" w:rsidR="00CC78E2" w:rsidRDefault="00CC78E2" w:rsidP="00CC78E2">
            <w:pPr>
              <w:rPr>
                <w:rFonts w:eastAsiaTheme="minorEastAsia" w:hint="eastAsia"/>
                <w:szCs w:val="20"/>
                <w:lang w:eastAsia="zh-CN"/>
              </w:rPr>
            </w:pPr>
            <w:r>
              <w:rPr>
                <w:lang w:val="en-GB"/>
              </w:rPr>
              <w:t xml:space="preserve">We are fine with Option 1. </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4pt;height:124.6pt" o:ole="">
            <v:imagedata r:id="rId18" o:title=""/>
          </v:shape>
          <o:OLEObject Type="Embed" ProgID="Visio.Drawing.11" ShapeID="_x0000_i1026" DrawAspect="Content" ObjectID="_1673163283" r:id="rId19"/>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1pt;height:121.05pt" o:ole="">
            <v:imagedata r:id="rId20" o:title=""/>
          </v:shape>
          <o:OLEObject Type="Embed" ProgID="Visio.Drawing.11" ShapeID="_x0000_i1027" DrawAspect="Content" ObjectID="_1673163284" r:id="rId21"/>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lastRenderedPageBreak/>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lastRenderedPageBreak/>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hint="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hint="eastAsia"/>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bl>
    <w:p w14:paraId="2ECA4472" w14:textId="77777777" w:rsidR="00EB64F4" w:rsidRDefault="00EB64F4">
      <w:pPr>
        <w:pStyle w:val="NormalWeb"/>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05pt;height:151.5pt" o:ole="">
            <v:imagedata r:id="rId22" o:title=""/>
          </v:shape>
          <o:OLEObject Type="Embed" ProgID="Visio.Drawing.11" ShapeID="_x0000_i1028" DrawAspect="Content" ObjectID="_1673163285"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hint="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hint="eastAsia"/>
                <w:szCs w:val="20"/>
                <w:lang w:eastAsia="zh-CN"/>
              </w:rPr>
            </w:pPr>
            <w:r>
              <w:rPr>
                <w:rFonts w:eastAsia="MS Mincho"/>
                <w:szCs w:val="20"/>
                <w:lang w:eastAsia="ja-JP"/>
              </w:rPr>
              <w:t xml:space="preserve">The same comment as we had above. </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1.4pt" o:ole="">
            <v:imagedata r:id="rId24" o:title=""/>
          </v:shape>
          <o:OLEObject Type="Embed" ProgID="Visio.Drawing.11" ShapeID="_x0000_i1029" DrawAspect="Content" ObjectID="_1673163286"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lastRenderedPageBreak/>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hint="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hint="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e.g. LCH based prioritization would </w:t>
      </w:r>
      <w:r>
        <w:rPr>
          <w:rFonts w:ascii="Times New Roman" w:eastAsiaTheme="minorEastAsia" w:hAnsi="Times New Roman"/>
          <w:kern w:val="0"/>
        </w:rPr>
        <w:lastRenderedPageBreak/>
        <w:t>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lastRenderedPageBreak/>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w:t>
      </w:r>
      <w:proofErr w:type="gramStart"/>
      <w:r>
        <w:rPr>
          <w:rFonts w:eastAsiaTheme="minorEastAsia"/>
          <w:szCs w:val="20"/>
          <w:lang w:eastAsia="zh-CN"/>
        </w:rPr>
        <w:t>taken into account</w:t>
      </w:r>
      <w:proofErr w:type="gramEnd"/>
      <w:r>
        <w:rPr>
          <w:rFonts w:eastAsiaTheme="minorEastAsia"/>
          <w:szCs w:val="20"/>
          <w:lang w:eastAsia="zh-CN"/>
        </w:rPr>
        <w:t xml:space="preserve">.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 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lastRenderedPageBreak/>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hint="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hint="eastAsia"/>
                <w:szCs w:val="20"/>
                <w:lang w:eastAsia="zh-CN"/>
              </w:rPr>
            </w:pPr>
            <w:r>
              <w:rPr>
                <w:szCs w:val="20"/>
              </w:rPr>
              <w:t xml:space="preserve">We do not agree with this proposal as explained above. If UCI multiplexing is a function of the MAC outcome, multiplexing cannot be deterministic.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1-4-1 and case 1-4-2. For case 1-4-3,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lastRenderedPageBreak/>
              <w:t>MAC generates MAC PDU for DG PUSCH and does not generate a TB for the 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hint="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657FF4A7" w14:textId="77777777" w:rsidR="003F3965" w:rsidRDefault="003F3965" w:rsidP="003F3965">
            <w:pPr>
              <w:rPr>
                <w:rFonts w:eastAsiaTheme="minorEastAsia" w:hint="eastAsia"/>
                <w:szCs w:val="20"/>
                <w:lang w:eastAsia="zh-CN"/>
              </w:rPr>
            </w:pP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proofErr w:type="gramStart"/>
            <w:r>
              <w:rPr>
                <w:rFonts w:eastAsia="MS Mincho"/>
                <w:szCs w:val="20"/>
                <w:lang w:eastAsia="ja-JP"/>
              </w:rPr>
              <w:t>HW(</w:t>
            </w:r>
            <w:proofErr w:type="spellStart"/>
            <w:proofErr w:type="gramEnd"/>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hint="eastAsia"/>
                <w:szCs w:val="20"/>
                <w:lang w:eastAsia="zh-CN"/>
              </w:rPr>
            </w:pPr>
            <w:r>
              <w:rPr>
                <w:rFonts w:eastAsia="MS Mincho"/>
                <w:szCs w:val="20"/>
                <w:lang w:eastAsia="ja-JP"/>
              </w:rPr>
              <w:t>The same response as before.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hint="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case 1-6-1 and case 1-6-2. For case 1-6-3,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hint="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hint="eastAsia"/>
                <w:szCs w:val="20"/>
                <w:lang w:eastAsia="zh-CN"/>
              </w:rPr>
            </w:pPr>
            <w:r>
              <w:rPr>
                <w:rFonts w:eastAsia="MS Mincho"/>
                <w:szCs w:val="20"/>
                <w:lang w:eastAsia="ja-JP"/>
              </w:rPr>
              <w:t xml:space="preserve">The same comment as before. </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hint="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lastRenderedPageBreak/>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 xml:space="preserve">Different UE behavior due to data availability requires </w:t>
            </w:r>
            <w:proofErr w:type="spellStart"/>
            <w:r w:rsidRPr="001E56E3">
              <w:rPr>
                <w:rFonts w:eastAsia="MS Mincho"/>
                <w:szCs w:val="20"/>
                <w:lang w:eastAsia="ja-JP"/>
              </w:rPr>
              <w:t>gNB</w:t>
            </w:r>
            <w:proofErr w:type="spellEnd"/>
            <w:r w:rsidRPr="001E56E3">
              <w:rPr>
                <w:rFonts w:eastAsia="MS Mincho"/>
                <w:szCs w:val="20"/>
                <w:lang w:eastAsia="ja-JP"/>
              </w:rPr>
              <w:t xml:space="preserve"> blind decoding and should be avoided.</w:t>
            </w:r>
            <w:r>
              <w:rPr>
                <w:rFonts w:eastAsia="MS Mincho"/>
                <w:szCs w:val="20"/>
                <w:lang w:eastAsia="ja-JP"/>
              </w:rPr>
              <w:t xml:space="preserve"> </w:t>
            </w:r>
            <w:r w:rsidRPr="001E56E3">
              <w:rPr>
                <w:rFonts w:eastAsia="MS Mincho"/>
                <w:szCs w:val="20"/>
                <w:lang w:eastAsia="ja-JP"/>
              </w:rPr>
              <w:t xml:space="preserve">Since </w:t>
            </w:r>
            <w:proofErr w:type="spellStart"/>
            <w:r w:rsidRPr="001E56E3">
              <w:rPr>
                <w:rFonts w:eastAsia="MS Mincho"/>
                <w:szCs w:val="20"/>
                <w:lang w:eastAsia="ja-JP"/>
              </w:rPr>
              <w:t>gNB</w:t>
            </w:r>
            <w:proofErr w:type="spellEnd"/>
            <w:r w:rsidRPr="001E56E3">
              <w:rPr>
                <w:rFonts w:eastAsia="MS Mincho"/>
                <w:szCs w:val="20"/>
                <w:lang w:eastAsia="ja-JP"/>
              </w:rPr>
              <w:t xml:space="preserve">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lastRenderedPageBreak/>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hint="eastAsia"/>
                <w:szCs w:val="20"/>
                <w:lang w:eastAsia="zh-CN"/>
              </w:rPr>
            </w:pPr>
            <w:r>
              <w:rPr>
                <w:szCs w:val="20"/>
              </w:rPr>
              <w:t>Qualcomm</w:t>
            </w:r>
          </w:p>
        </w:tc>
        <w:tc>
          <w:tcPr>
            <w:tcW w:w="7222" w:type="dxa"/>
          </w:tcPr>
          <w:p w14:paraId="2FB8157D" w14:textId="7340F2AB" w:rsidR="00A97FCF" w:rsidRDefault="00A97FCF" w:rsidP="00A97FCF">
            <w:pPr>
              <w:rPr>
                <w:rFonts w:eastAsiaTheme="minorEastAsia" w:hint="eastAsia"/>
                <w:szCs w:val="20"/>
                <w:lang w:eastAsia="zh-CN"/>
              </w:rPr>
            </w:pPr>
            <w:r>
              <w:rPr>
                <w:rFonts w:eastAsia="MS Mincho"/>
                <w:szCs w:val="20"/>
                <w:lang w:eastAsia="ja-JP"/>
              </w:rPr>
              <w:t xml:space="preserve">We do not agree due to the same reasons mentioned before.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hint="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hint="eastAsia"/>
                <w:szCs w:val="20"/>
                <w:lang w:eastAsia="zh-CN"/>
              </w:rPr>
            </w:pPr>
            <w:r>
              <w:rPr>
                <w:rFonts w:eastAsia="MS Mincho"/>
                <w:szCs w:val="20"/>
                <w:lang w:eastAsia="ja-JP"/>
              </w:rPr>
              <w:t xml:space="preserve">We do not agree due to the same reasons mentioned before. </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rPr>
              <w:lastRenderedPageBreak/>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hint="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hint="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hint="eastAsia"/>
                <w:szCs w:val="20"/>
                <w:lang w:eastAsia="zh-CN"/>
              </w:rPr>
            </w:pPr>
            <w:r>
              <w:rPr>
                <w:rFonts w:eastAsia="MS Mincho"/>
                <w:szCs w:val="20"/>
                <w:lang w:eastAsia="ja-JP"/>
              </w:rPr>
              <w:t xml:space="preserve">We do not agree due to the same reasons mentioned before.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hint="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hint="eastAsia"/>
                <w:szCs w:val="20"/>
                <w:lang w:eastAsia="zh-CN"/>
              </w:rPr>
            </w:pPr>
            <w:r>
              <w:rPr>
                <w:rFonts w:eastAsia="MS Mincho"/>
                <w:szCs w:val="20"/>
                <w:lang w:eastAsia="ja-JP"/>
              </w:rPr>
              <w:lastRenderedPageBreak/>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 xml:space="preserve">ifferent UE behavior due to data availability requires </w:t>
            </w:r>
            <w:proofErr w:type="spellStart"/>
            <w:r w:rsidRPr="00D100A9">
              <w:rPr>
                <w:szCs w:val="20"/>
              </w:rPr>
              <w:t>gNB</w:t>
            </w:r>
            <w:proofErr w:type="spellEnd"/>
            <w:r w:rsidRPr="00D100A9">
              <w:rPr>
                <w:szCs w:val="20"/>
              </w:rPr>
              <w:t xml:space="preserve">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hint="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 xml:space="preserve">For all the cases, either Option 2 from Q1-1 or the alternative solution as explained in our response can be used. </w:t>
            </w:r>
            <w:proofErr w:type="gramStart"/>
            <w:r>
              <w:rPr>
                <w:rFonts w:eastAsia="MS Mincho"/>
                <w:szCs w:val="20"/>
                <w:lang w:eastAsia="ja-JP"/>
              </w:rPr>
              <w:t>Both of the solutions</w:t>
            </w:r>
            <w:proofErr w:type="gramEnd"/>
            <w:r>
              <w:rPr>
                <w:rFonts w:eastAsia="MS Mincho"/>
                <w:szCs w:val="20"/>
                <w:lang w:eastAsia="ja-JP"/>
              </w:rPr>
              <w:t xml:space="preserve"> achieve the objectives.</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lastRenderedPageBreak/>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hint="eastAsia"/>
                <w:szCs w:val="20"/>
                <w:lang w:eastAsia="zh-CN"/>
              </w:rPr>
            </w:pPr>
            <w:r>
              <w:rPr>
                <w:rFonts w:eastAsia="MS Mincho"/>
                <w:szCs w:val="20"/>
                <w:lang w:eastAsia="ja-JP"/>
              </w:rPr>
              <w:lastRenderedPageBreak/>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FA42F2">
      <w:pPr>
        <w:pStyle w:val="ListParagraph"/>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FA42F2">
      <w:pPr>
        <w:pStyle w:val="ListParagraph"/>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FA42F2">
      <w:pPr>
        <w:pStyle w:val="ListParagraph"/>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FA42F2">
      <w:pPr>
        <w:pStyle w:val="ListParagraph"/>
        <w:numPr>
          <w:ilvl w:val="0"/>
          <w:numId w:val="23"/>
        </w:numPr>
        <w:ind w:firstLineChars="0"/>
        <w:rPr>
          <w:rFonts w:cs="Calibri"/>
          <w:szCs w:val="21"/>
        </w:rPr>
      </w:pPr>
      <w:hyperlink r:id="rId36" w:history="1">
        <w:r w:rsidR="007E7832">
          <w:t>R1-2100756</w:t>
        </w:r>
      </w:hyperlink>
      <w:r w:rsidR="007E7832">
        <w:rPr>
          <w:rFonts w:cs="Calibri"/>
          <w:szCs w:val="21"/>
        </w:rPr>
        <w:t>, URLLC/</w:t>
      </w:r>
      <w:proofErr w:type="spellStart"/>
      <w:r w:rsidR="007E7832">
        <w:rPr>
          <w:rFonts w:cs="Calibri"/>
          <w:szCs w:val="21"/>
        </w:rPr>
        <w:t>IIoT</w:t>
      </w:r>
      <w:proofErr w:type="spellEnd"/>
      <w:r w:rsidR="007E7832">
        <w:rPr>
          <w:rFonts w:cs="Calibri"/>
          <w:szCs w:val="21"/>
        </w:rPr>
        <w:t xml:space="preserve"> PUSCH skipping (with LCH and/or PHY prioritization configured), Nokia, Nokia Shanghai Bell</w:t>
      </w:r>
    </w:p>
    <w:p w14:paraId="14C62E7D" w14:textId="77777777" w:rsidR="00EB64F4" w:rsidRDefault="00FA42F2">
      <w:pPr>
        <w:pStyle w:val="ListParagraph"/>
        <w:numPr>
          <w:ilvl w:val="0"/>
          <w:numId w:val="23"/>
        </w:numPr>
        <w:ind w:firstLineChars="0"/>
        <w:rPr>
          <w:rFonts w:cs="Calibri"/>
          <w:szCs w:val="21"/>
        </w:rPr>
      </w:pPr>
      <w:hyperlink r:id="rId37"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FA42F2">
      <w:pPr>
        <w:pStyle w:val="ListParagraph"/>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FA42F2">
      <w:pPr>
        <w:pStyle w:val="ListParagraph"/>
        <w:numPr>
          <w:ilvl w:val="0"/>
          <w:numId w:val="23"/>
        </w:numPr>
        <w:ind w:firstLineChars="0"/>
        <w:rPr>
          <w:rFonts w:cs="Calibri"/>
          <w:szCs w:val="21"/>
        </w:rPr>
      </w:pPr>
      <w:hyperlink r:id="rId39"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FA42F2">
      <w:pPr>
        <w:pStyle w:val="ListParagraph"/>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FA42F2">
      <w:pPr>
        <w:pStyle w:val="ListParagraph"/>
        <w:numPr>
          <w:ilvl w:val="0"/>
          <w:numId w:val="23"/>
        </w:numPr>
        <w:ind w:firstLineChars="0"/>
        <w:rPr>
          <w:rFonts w:cs="Calibri"/>
          <w:szCs w:val="21"/>
        </w:rPr>
      </w:pPr>
      <w:hyperlink r:id="rId41"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FA42F2">
      <w:pPr>
        <w:pStyle w:val="ListParagraph"/>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FA42F2">
      <w:pPr>
        <w:pStyle w:val="ListParagraph"/>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35D4C" w14:textId="77777777" w:rsidR="0087542F" w:rsidRDefault="0087542F">
      <w:pPr>
        <w:spacing w:after="0"/>
      </w:pPr>
      <w:r>
        <w:separator/>
      </w:r>
    </w:p>
  </w:endnote>
  <w:endnote w:type="continuationSeparator" w:id="0">
    <w:p w14:paraId="026F143D" w14:textId="77777777" w:rsidR="0087542F" w:rsidRDefault="00875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EndPr/>
    <w:sdtContent>
      <w:p w14:paraId="63B6184C" w14:textId="77777777" w:rsidR="00373338" w:rsidRDefault="00373338">
        <w:pPr>
          <w:pStyle w:val="Footer"/>
          <w:jc w:val="center"/>
        </w:pPr>
        <w:r>
          <w:fldChar w:fldCharType="begin"/>
        </w:r>
        <w:r>
          <w:instrText>PAGE   \* MERGEFORMAT</w:instrText>
        </w:r>
        <w:r>
          <w:fldChar w:fldCharType="separate"/>
        </w:r>
        <w:r w:rsidRPr="00025CAD">
          <w:rPr>
            <w:noProof/>
            <w:lang w:val="zh-CN" w:eastAsia="zh-CN"/>
          </w:rPr>
          <w:t>21</w:t>
        </w:r>
        <w:r>
          <w:fldChar w:fldCharType="end"/>
        </w:r>
      </w:p>
    </w:sdtContent>
  </w:sdt>
  <w:p w14:paraId="5BCF0C86" w14:textId="77777777" w:rsidR="00373338" w:rsidRDefault="0037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669E" w14:textId="77777777" w:rsidR="0087542F" w:rsidRDefault="0087542F">
      <w:pPr>
        <w:spacing w:after="0"/>
      </w:pPr>
      <w:r>
        <w:separator/>
      </w:r>
    </w:p>
  </w:footnote>
  <w:footnote w:type="continuationSeparator" w:id="0">
    <w:p w14:paraId="430D917E" w14:textId="77777777" w:rsidR="0087542F" w:rsidRDefault="008754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33F8" w14:textId="77777777" w:rsidR="00373338" w:rsidRDefault="0037333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BE6"/>
    <w:rsid w:val="00125C01"/>
    <w:rsid w:val="00125CA4"/>
    <w:rsid w:val="00125D22"/>
    <w:rsid w:val="00125D93"/>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1AE"/>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940"/>
    <w:rsid w:val="00484F97"/>
    <w:rsid w:val="0048510C"/>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08E0"/>
    <w:rsid w:val="00C71631"/>
    <w:rsid w:val="00C71906"/>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4.emf"/><Relationship Id="rId29" Type="http://schemas.openxmlformats.org/officeDocument/2006/relationships/image" Target="media/image10.png"/><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Props1.xml><?xml version="1.0" encoding="utf-8"?>
<ds:datastoreItem xmlns:ds="http://schemas.openxmlformats.org/officeDocument/2006/customXml" ds:itemID="{80D2BB4C-F768-41FE-8625-DADE408215FD}">
  <ds:schemaRefs>
    <ds:schemaRef ds:uri="http://schemas.openxmlformats.org/officeDocument/2006/bibliography"/>
  </ds:schemaRefs>
</ds:datastoreItem>
</file>

<file path=customXml/itemProps2.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10923</Words>
  <Characters>52714</Characters>
  <Application>Microsoft Office Word</Application>
  <DocSecurity>0</DocSecurity>
  <Lines>439</Lines>
  <Paragraphs>127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Kianoush Hosseini</cp:lastModifiedBy>
  <cp:revision>23</cp:revision>
  <cp:lastPrinted>2011-08-03T09:36:00Z</cp:lastPrinted>
  <dcterms:created xsi:type="dcterms:W3CDTF">2021-01-26T17:14:00Z</dcterms:created>
  <dcterms:modified xsi:type="dcterms:W3CDTF">2021-01-26T18:14:00Z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