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w:t>
            </w:r>
            <w:proofErr w:type="gramStart"/>
            <w:r>
              <w:rPr>
                <w:rFonts w:eastAsia="Malgun Gothic"/>
                <w:b/>
                <w:bCs/>
                <w:lang w:eastAsia="ko-KR"/>
              </w:rPr>
              <w:t>further more</w:t>
            </w:r>
            <w:proofErr w:type="gramEnd"/>
            <w:r>
              <w:rPr>
                <w:rFonts w:eastAsia="Malgun Gothic"/>
                <w:b/>
                <w:bCs/>
                <w:lang w:eastAsia="ko-KR"/>
              </w:rPr>
              <w:t xml:space="preserv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3067A7">
            <w:pPr>
              <w:jc w:val="center"/>
              <w:rPr>
                <w:b/>
                <w:bCs/>
                <w:lang w:eastAsia="zh-CN"/>
              </w:rPr>
            </w:pPr>
            <w:r>
              <w:rPr>
                <w:b/>
                <w:bCs/>
                <w:lang w:eastAsia="zh-CN"/>
              </w:rPr>
              <w:t>Nokia, NSB</w:t>
            </w:r>
          </w:p>
        </w:tc>
        <w:tc>
          <w:tcPr>
            <w:tcW w:w="7474" w:type="dxa"/>
          </w:tcPr>
          <w:p w14:paraId="3D894303" w14:textId="77777777" w:rsidR="000F78A1" w:rsidRDefault="000F78A1" w:rsidP="003067A7">
            <w:pPr>
              <w:rPr>
                <w:b/>
                <w:bCs/>
                <w:lang w:eastAsia="zh-CN"/>
              </w:rPr>
            </w:pPr>
            <w:r>
              <w:rPr>
                <w:b/>
                <w:bCs/>
                <w:lang w:eastAsia="zh-CN"/>
              </w:rPr>
              <w:t xml:space="preserve">We don’t see a need for the change (as most other companies so far). Current specs </w:t>
            </w:r>
            <w:proofErr w:type="gramStart"/>
            <w:r>
              <w:rPr>
                <w:b/>
                <w:bCs/>
                <w:lang w:eastAsia="zh-CN"/>
              </w:rPr>
              <w:t>is</w:t>
            </w:r>
            <w:proofErr w:type="gramEnd"/>
            <w:r>
              <w:rPr>
                <w:b/>
                <w:bCs/>
                <w:lang w:eastAsia="zh-CN"/>
              </w:rPr>
              <w:t xml:space="preserve"> clear enough</w:t>
            </w:r>
          </w:p>
        </w:tc>
      </w:tr>
      <w:tr w:rsidR="004C67C6" w14:paraId="47BC32BE" w14:textId="77777777" w:rsidTr="000F78A1">
        <w:tc>
          <w:tcPr>
            <w:tcW w:w="2155" w:type="dxa"/>
          </w:tcPr>
          <w:p w14:paraId="77481BAD" w14:textId="2084168A" w:rsidR="004C67C6" w:rsidRDefault="004C67C6" w:rsidP="003067A7">
            <w:pPr>
              <w:jc w:val="center"/>
              <w:rPr>
                <w:b/>
                <w:bCs/>
                <w:lang w:eastAsia="zh-CN"/>
              </w:rPr>
            </w:pPr>
            <w:r>
              <w:rPr>
                <w:b/>
                <w:bCs/>
                <w:lang w:eastAsia="zh-CN"/>
              </w:rPr>
              <w:t>Ericsson</w:t>
            </w:r>
          </w:p>
        </w:tc>
        <w:tc>
          <w:tcPr>
            <w:tcW w:w="7474" w:type="dxa"/>
          </w:tcPr>
          <w:p w14:paraId="245ABAC7" w14:textId="1EA4A1FD" w:rsidR="004C67C6" w:rsidRDefault="004C67C6" w:rsidP="003067A7">
            <w:pPr>
              <w:rPr>
                <w:b/>
                <w:bCs/>
                <w:lang w:eastAsia="zh-CN"/>
              </w:rPr>
            </w:pPr>
            <w:r>
              <w:rPr>
                <w:b/>
                <w:bCs/>
                <w:lang w:eastAsia="zh-CN"/>
              </w:rPr>
              <w:t>Although “before” is fine, but in fact, “not later than” is more accurate. We are fine with adopting the TP, to avoid future risks that UE may skip cancellation of first symbol.</w:t>
            </w:r>
          </w:p>
        </w:tc>
      </w:tr>
      <w:tr w:rsidR="00AC17ED" w14:paraId="54941B30" w14:textId="77777777" w:rsidTr="000F78A1">
        <w:tc>
          <w:tcPr>
            <w:tcW w:w="2155" w:type="dxa"/>
          </w:tcPr>
          <w:p w14:paraId="6A77202F" w14:textId="4E0AAC57" w:rsidR="00AC17ED" w:rsidRDefault="00AC17ED" w:rsidP="00AC17ED">
            <w:pPr>
              <w:jc w:val="center"/>
              <w:rPr>
                <w:b/>
                <w:bCs/>
                <w:lang w:eastAsia="zh-CN"/>
              </w:rPr>
            </w:pPr>
            <w:r>
              <w:rPr>
                <w:rFonts w:eastAsia="Malgun Gothic" w:hint="eastAsia"/>
                <w:b/>
                <w:bCs/>
                <w:lang w:eastAsia="ko-KR"/>
              </w:rPr>
              <w:t>Samsung</w:t>
            </w:r>
          </w:p>
        </w:tc>
        <w:tc>
          <w:tcPr>
            <w:tcW w:w="7474" w:type="dxa"/>
          </w:tcPr>
          <w:p w14:paraId="771AA761" w14:textId="0A826358" w:rsidR="00AC17ED" w:rsidRDefault="00AC17ED" w:rsidP="00AC17ED">
            <w:pPr>
              <w:rPr>
                <w:b/>
                <w:bCs/>
                <w:lang w:eastAsia="zh-CN"/>
              </w:rPr>
            </w:pPr>
            <w:r>
              <w:rPr>
                <w:rFonts w:eastAsia="Malgun Gothic"/>
                <w:b/>
                <w:bCs/>
                <w:lang w:eastAsia="ko-KR"/>
              </w:rPr>
              <w:t xml:space="preserve">No need for the TP – the cancelation is before the </w:t>
            </w:r>
            <w:proofErr w:type="gramStart"/>
            <w:r>
              <w:rPr>
                <w:rFonts w:eastAsia="Malgun Gothic"/>
                <w:b/>
                <w:bCs/>
                <w:lang w:eastAsia="ko-KR"/>
              </w:rPr>
              <w:t>transmission,</w:t>
            </w:r>
            <w:proofErr w:type="gramEnd"/>
            <w:r>
              <w:rPr>
                <w:rFonts w:eastAsia="Malgun Gothic"/>
                <w:b/>
                <w:bCs/>
                <w:lang w:eastAsia="ko-KR"/>
              </w:rPr>
              <w:t xml:space="preserve"> the first symbol is not overlapped. </w:t>
            </w:r>
          </w:p>
        </w:tc>
      </w:tr>
      <w:tr w:rsidR="003067A7" w14:paraId="31632ED6" w14:textId="77777777" w:rsidTr="000F78A1">
        <w:tc>
          <w:tcPr>
            <w:tcW w:w="2155" w:type="dxa"/>
          </w:tcPr>
          <w:p w14:paraId="076ED7BF" w14:textId="4508864F" w:rsidR="003067A7" w:rsidRPr="003067A7" w:rsidRDefault="003067A7" w:rsidP="00AC17ED">
            <w:pPr>
              <w:jc w:val="center"/>
              <w:rPr>
                <w:rFonts w:eastAsiaTheme="minorEastAsia"/>
                <w:b/>
                <w:bCs/>
                <w:lang w:eastAsia="zh-CN"/>
              </w:rPr>
            </w:pPr>
            <w:r>
              <w:rPr>
                <w:rFonts w:eastAsiaTheme="minorEastAsia" w:hint="eastAsia"/>
                <w:b/>
                <w:bCs/>
                <w:lang w:eastAsia="zh-CN"/>
              </w:rPr>
              <w:t>Spreadtrum</w:t>
            </w:r>
          </w:p>
        </w:tc>
        <w:tc>
          <w:tcPr>
            <w:tcW w:w="7474" w:type="dxa"/>
          </w:tcPr>
          <w:p w14:paraId="42577D00" w14:textId="7DD3D1E5" w:rsidR="003067A7" w:rsidRPr="003067A7" w:rsidRDefault="003067A7" w:rsidP="00AC17ED">
            <w:pPr>
              <w:rPr>
                <w:rFonts w:eastAsiaTheme="minorEastAsia"/>
                <w:b/>
                <w:bCs/>
                <w:lang w:eastAsia="zh-CN"/>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support the </w:t>
            </w:r>
            <w:proofErr w:type="gramStart"/>
            <w:r>
              <w:rPr>
                <w:rFonts w:eastAsiaTheme="minorEastAsia"/>
                <w:b/>
                <w:bCs/>
                <w:lang w:eastAsia="zh-CN"/>
              </w:rPr>
              <w:t>TP,</w:t>
            </w:r>
            <w:proofErr w:type="gramEnd"/>
            <w:r>
              <w:rPr>
                <w:rFonts w:eastAsiaTheme="minorEastAsia"/>
                <w:b/>
                <w:bCs/>
                <w:lang w:eastAsia="zh-CN"/>
              </w:rPr>
              <w:t xml:space="preserve"> it is more accurate.</w:t>
            </w:r>
          </w:p>
        </w:tc>
      </w:tr>
      <w:tr w:rsidR="00994F46" w14:paraId="19E797B7" w14:textId="77777777" w:rsidTr="000F78A1">
        <w:tc>
          <w:tcPr>
            <w:tcW w:w="2155" w:type="dxa"/>
          </w:tcPr>
          <w:p w14:paraId="670E2F0D" w14:textId="7DBFBEE5" w:rsidR="00994F46" w:rsidRDefault="00994F46" w:rsidP="00994F46">
            <w:pPr>
              <w:jc w:val="center"/>
              <w:rPr>
                <w:rFonts w:eastAsiaTheme="minorEastAsia"/>
                <w:b/>
                <w:bCs/>
                <w:lang w:eastAsia="zh-CN"/>
              </w:rPr>
            </w:pPr>
            <w:r>
              <w:rPr>
                <w:rFonts w:eastAsia="Malgun Gothic"/>
                <w:b/>
                <w:bCs/>
                <w:lang w:eastAsia="ko-KR"/>
              </w:rPr>
              <w:t>Intel</w:t>
            </w:r>
          </w:p>
        </w:tc>
        <w:tc>
          <w:tcPr>
            <w:tcW w:w="7474" w:type="dxa"/>
          </w:tcPr>
          <w:p w14:paraId="262FFC1C" w14:textId="400B6209" w:rsidR="00994F46" w:rsidRDefault="00994F46" w:rsidP="00994F46">
            <w:pPr>
              <w:rPr>
                <w:rFonts w:eastAsiaTheme="minorEastAsia"/>
                <w:b/>
                <w:bCs/>
                <w:lang w:eastAsia="zh-CN"/>
              </w:rPr>
            </w:pPr>
            <w:r>
              <w:rPr>
                <w:rFonts w:eastAsia="Malgun Gothic"/>
                <w:b/>
                <w:bCs/>
                <w:lang w:eastAsia="ko-KR"/>
              </w:rPr>
              <w:t>No need for the TP. Share same understanding as CATT, Samsung, et al.</w:t>
            </w:r>
          </w:p>
        </w:tc>
      </w:tr>
      <w:tr w:rsidR="001E7980" w14:paraId="145ED7A1" w14:textId="77777777" w:rsidTr="000F78A1">
        <w:tc>
          <w:tcPr>
            <w:tcW w:w="2155" w:type="dxa"/>
          </w:tcPr>
          <w:p w14:paraId="6BD51225" w14:textId="2D5744FD" w:rsidR="001E7980" w:rsidRDefault="001E7980" w:rsidP="00994F46">
            <w:pPr>
              <w:jc w:val="center"/>
              <w:rPr>
                <w:rFonts w:eastAsia="Malgun Gothic"/>
                <w:b/>
                <w:bCs/>
                <w:lang w:eastAsia="ko-KR"/>
              </w:rPr>
            </w:pPr>
            <w:r>
              <w:rPr>
                <w:rFonts w:eastAsia="Malgun Gothic"/>
                <w:b/>
                <w:bCs/>
                <w:lang w:eastAsia="ko-KR"/>
              </w:rPr>
              <w:t>Apple</w:t>
            </w:r>
          </w:p>
        </w:tc>
        <w:tc>
          <w:tcPr>
            <w:tcW w:w="7474" w:type="dxa"/>
          </w:tcPr>
          <w:p w14:paraId="6825FCC4" w14:textId="5BA2C95A" w:rsidR="001E7980" w:rsidRDefault="001E7980" w:rsidP="00994F46">
            <w:pPr>
              <w:rPr>
                <w:rFonts w:eastAsia="Malgun Gothic"/>
                <w:b/>
                <w:bCs/>
                <w:lang w:eastAsia="ko-KR"/>
              </w:rPr>
            </w:pPr>
            <w:r>
              <w:rPr>
                <w:rFonts w:eastAsiaTheme="minorEastAsia"/>
                <w:b/>
                <w:bCs/>
                <w:lang w:eastAsia="zh-CN"/>
              </w:rPr>
              <w:t>We do not strictly see the need for the TP, but we are fine with the group’s decision whichever it is.</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Heading1"/>
        <w:pBdr>
          <w:top w:val="single" w:sz="12" w:space="0" w:color="auto"/>
        </w:pBdr>
        <w:ind w:left="0" w:firstLine="0"/>
        <w:jc w:val="both"/>
      </w:pPr>
      <w:r>
        <w:lastRenderedPageBreak/>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3067A7">
            <w:pPr>
              <w:jc w:val="center"/>
              <w:rPr>
                <w:b/>
                <w:bCs/>
              </w:rPr>
            </w:pPr>
            <w:r w:rsidRPr="00824F3D">
              <w:rPr>
                <w:b/>
                <w:bCs/>
              </w:rPr>
              <w:t>Company</w:t>
            </w:r>
          </w:p>
        </w:tc>
        <w:tc>
          <w:tcPr>
            <w:tcW w:w="8119" w:type="dxa"/>
          </w:tcPr>
          <w:p w14:paraId="78CC484D" w14:textId="3D32E168" w:rsidR="007129D4" w:rsidRPr="00824F3D" w:rsidRDefault="007129D4" w:rsidP="003067A7">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3067A7">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lastRenderedPageBreak/>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2: Each individual LP PUCCH/PUSCH that collides with semi-static DL symbols and/or SSB symbols is </w:t>
            </w:r>
            <w:proofErr w:type="gramStart"/>
            <w:r w:rsidRPr="00784721">
              <w:rPr>
                <w:rFonts w:eastAsia="Yu Mincho"/>
                <w:lang w:eastAsia="ja-JP"/>
              </w:rPr>
              <w:t>cancelled</w:t>
            </w:r>
            <w:r>
              <w:rPr>
                <w:rFonts w:eastAsiaTheme="minorEastAsia"/>
                <w:lang w:eastAsia="zh-CN"/>
              </w:rPr>
              <w:t>;</w:t>
            </w:r>
            <w:proofErr w:type="gramEnd"/>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xml:space="preserve">, LP channels are </w:t>
            </w:r>
            <w:proofErr w:type="gramStart"/>
            <w:r w:rsidRPr="00784721">
              <w:rPr>
                <w:rFonts w:eastAsia="Yu Mincho"/>
                <w:lang w:eastAsia="ja-JP"/>
              </w:rPr>
              <w:t>cancelled</w:t>
            </w:r>
            <w:r>
              <w:rPr>
                <w:rFonts w:eastAsia="Yu Mincho"/>
                <w:lang w:eastAsia="ja-JP"/>
              </w:rPr>
              <w:t>;</w:t>
            </w:r>
            <w:proofErr w:type="gramEnd"/>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proofErr w:type="gramStart"/>
            <w:r w:rsidRPr="00113193">
              <w:rPr>
                <w:rFonts w:eastAsia="Yu Mincho" w:hint="eastAsia"/>
                <w:lang w:eastAsia="ja-JP"/>
              </w:rPr>
              <w:t>)</w:t>
            </w:r>
            <w:r>
              <w:rPr>
                <w:rFonts w:eastAsia="Yu Mincho"/>
                <w:lang w:eastAsia="ja-JP"/>
              </w:rPr>
              <w:t>;</w:t>
            </w:r>
            <w:proofErr w:type="gramEnd"/>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Another comment is that we would like to have clarified if the intention is to achieve a good performance (i.e. transmitting UCI as much as possible) or a very simple UE/</w:t>
            </w:r>
            <w:proofErr w:type="spellStart"/>
            <w:r>
              <w:rPr>
                <w:bCs/>
              </w:rPr>
              <w:t>gNB</w:t>
            </w:r>
            <w:proofErr w:type="spellEnd"/>
            <w:r>
              <w:rPr>
                <w:bCs/>
              </w:rPr>
              <w:t xml:space="preserve"> implementation? The current proposal is not very simple for UE implementation because multiple steps of cancellation are required. If the intended benefit of the current proposal is to transmit UCI 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 xml:space="preserve">If some restrictions on the possible cases could be guaranteed by the </w:t>
            </w:r>
            <w:proofErr w:type="spellStart"/>
            <w:r>
              <w:rPr>
                <w:bCs/>
              </w:rPr>
              <w:t>gNB</w:t>
            </w:r>
            <w:proofErr w:type="spellEnd"/>
            <w:r>
              <w:rPr>
                <w:bCs/>
              </w:rPr>
              <w:t>,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lastRenderedPageBreak/>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w:t>
            </w:r>
            <w:proofErr w:type="spellStart"/>
            <w:r>
              <w:rPr>
                <w:rFonts w:eastAsia="Yu Mincho"/>
                <w:bCs/>
                <w:lang w:eastAsia="ja-JP"/>
              </w:rPr>
              <w:t>HiSi</w:t>
            </w:r>
            <w:proofErr w:type="spellEnd"/>
            <w:r>
              <w:rPr>
                <w:rFonts w:eastAsia="Yu Mincho"/>
                <w:bCs/>
                <w:lang w:eastAsia="ja-JP"/>
              </w:rPr>
              <w:t>,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3067A7">
            <w:pPr>
              <w:jc w:val="center"/>
              <w:rPr>
                <w:rFonts w:eastAsia="Malgun Gothic"/>
                <w:b/>
                <w:bCs/>
                <w:lang w:eastAsia="ko-KR"/>
              </w:rPr>
            </w:pPr>
            <w:r w:rsidRPr="00BD53E5">
              <w:rPr>
                <w:b/>
                <w:bCs/>
              </w:rPr>
              <w:t xml:space="preserve">Nokia, NSB  </w:t>
            </w:r>
          </w:p>
        </w:tc>
        <w:tc>
          <w:tcPr>
            <w:tcW w:w="8119" w:type="dxa"/>
          </w:tcPr>
          <w:p w14:paraId="1074457F" w14:textId="77777777" w:rsidR="000F78A1" w:rsidRPr="00BD53E5" w:rsidRDefault="000F78A1" w:rsidP="003067A7">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3067A7">
            <w:pPr>
              <w:jc w:val="center"/>
              <w:rPr>
                <w:b/>
                <w:bCs/>
              </w:rPr>
            </w:pPr>
            <w:r>
              <w:rPr>
                <w:b/>
                <w:bCs/>
              </w:rPr>
              <w:t>Ericsson</w:t>
            </w:r>
          </w:p>
        </w:tc>
        <w:tc>
          <w:tcPr>
            <w:tcW w:w="8119" w:type="dxa"/>
          </w:tcPr>
          <w:p w14:paraId="3CAF7733" w14:textId="0F6D4548" w:rsidR="004C67C6" w:rsidRDefault="004C67C6" w:rsidP="004C67C6">
            <w:pPr>
              <w:pStyle w:val="ListParagraph"/>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ListParagraph"/>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ListParagraph"/>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r w:rsidR="00AC17ED" w:rsidRPr="00BD53E5" w14:paraId="77AC81AD" w14:textId="77777777" w:rsidTr="000F78A1">
        <w:tc>
          <w:tcPr>
            <w:tcW w:w="1596" w:type="dxa"/>
          </w:tcPr>
          <w:p w14:paraId="6C9E4AD4" w14:textId="50585691" w:rsidR="00AC17ED" w:rsidRDefault="00AC17ED" w:rsidP="00AC17ED">
            <w:pPr>
              <w:jc w:val="center"/>
              <w:rPr>
                <w:b/>
                <w:bCs/>
              </w:rPr>
            </w:pPr>
            <w:r>
              <w:rPr>
                <w:rFonts w:eastAsia="Malgun Gothic" w:hint="eastAsia"/>
                <w:b/>
                <w:bCs/>
                <w:lang w:eastAsia="ko-KR"/>
              </w:rPr>
              <w:t>Samsung</w:t>
            </w:r>
          </w:p>
        </w:tc>
        <w:tc>
          <w:tcPr>
            <w:tcW w:w="8119" w:type="dxa"/>
          </w:tcPr>
          <w:p w14:paraId="0FA99457" w14:textId="67FDCBB2" w:rsidR="00AC17ED" w:rsidRPr="00AC17ED" w:rsidRDefault="00AC17ED" w:rsidP="00AC17ED">
            <w:r>
              <w:t>OK in principle with the steps. It is also our understanding that the outcome of clause 9.2.3 is applicable to clause 9.2.5 (couldn’t be otherwise).</w:t>
            </w:r>
          </w:p>
        </w:tc>
      </w:tr>
      <w:tr w:rsidR="0094293A" w:rsidRPr="00BD53E5" w14:paraId="69E3C6D4" w14:textId="77777777" w:rsidTr="000F78A1">
        <w:tc>
          <w:tcPr>
            <w:tcW w:w="1596" w:type="dxa"/>
          </w:tcPr>
          <w:p w14:paraId="620FEDC8" w14:textId="624FB564" w:rsidR="0094293A" w:rsidRPr="0094293A" w:rsidRDefault="0094293A" w:rsidP="00AC17ED">
            <w:pPr>
              <w:jc w:val="center"/>
              <w:rPr>
                <w:rFonts w:eastAsiaTheme="minorEastAsia"/>
                <w:b/>
                <w:bCs/>
                <w:lang w:eastAsia="zh-CN"/>
              </w:rPr>
            </w:pPr>
            <w:r>
              <w:rPr>
                <w:rFonts w:eastAsiaTheme="minorEastAsia" w:hint="eastAsia"/>
                <w:b/>
                <w:bCs/>
                <w:lang w:eastAsia="zh-CN"/>
              </w:rPr>
              <w:t>Spreadtrum</w:t>
            </w:r>
          </w:p>
        </w:tc>
        <w:tc>
          <w:tcPr>
            <w:tcW w:w="8119" w:type="dxa"/>
          </w:tcPr>
          <w:p w14:paraId="2A7A9AAC" w14:textId="77777777" w:rsidR="0094293A" w:rsidRDefault="0094293A" w:rsidP="00AC17ED">
            <w:pPr>
              <w:rPr>
                <w:lang w:eastAsia="zh-CN"/>
              </w:rPr>
            </w:pPr>
            <w:r>
              <w:rPr>
                <w:rFonts w:hint="eastAsia"/>
                <w:lang w:eastAsia="zh-CN"/>
              </w:rPr>
              <w:t>We are fine</w:t>
            </w:r>
            <w:r>
              <w:rPr>
                <w:lang w:eastAsia="zh-CN"/>
              </w:rPr>
              <w:t xml:space="preserve"> with the proposal.</w:t>
            </w:r>
          </w:p>
          <w:p w14:paraId="1821F5EA" w14:textId="6EB90753" w:rsidR="0094293A" w:rsidRDefault="0094293A" w:rsidP="000C2516">
            <w:pPr>
              <w:rPr>
                <w:lang w:eastAsia="zh-CN"/>
              </w:rPr>
            </w:pPr>
            <w:r>
              <w:rPr>
                <w:lang w:eastAsia="zh-CN"/>
              </w:rPr>
              <w:t xml:space="preserve">For the order of </w:t>
            </w:r>
            <w:r w:rsidRPr="00BD53E5">
              <w:t>Step 3 and Step 2.4</w:t>
            </w:r>
            <w:r>
              <w:t xml:space="preserve">, </w:t>
            </w:r>
            <w:r w:rsidR="00F25F76">
              <w:t xml:space="preserve">we </w:t>
            </w:r>
            <w:r w:rsidR="000C2516">
              <w:t>are fine with</w:t>
            </w:r>
            <w:r w:rsidR="00F25F76">
              <w:t xml:space="preserve"> the cur</w:t>
            </w:r>
            <w:r w:rsidR="00F825B2">
              <w:t>rent steps. Because HP UL channels include SR/HARQ-ACK on PUCCH and CG/DG PUSCH. The cases that UL channel resources are reselected during multiplexing procedure are dynamic HARQ-ACK on PUCCH and multi-CSI PUCCH. LP channel canceled in step 3 would be multi-CSI PUCCH, since dynamic HARQ-ACK never expect to collide with DL/SSB.</w:t>
            </w:r>
            <w:r w:rsidR="000C2516">
              <w:t xml:space="preserve"> Meanwhile, HP channel never </w:t>
            </w:r>
            <w:r w:rsidR="000C2516" w:rsidRPr="000C2516">
              <w:t xml:space="preserve">carry out </w:t>
            </w:r>
            <w:r w:rsidR="000C2516">
              <w:t xml:space="preserve">Step 3.  </w:t>
            </w:r>
            <w:proofErr w:type="gramStart"/>
            <w:r w:rsidR="000C2516">
              <w:t>So</w:t>
            </w:r>
            <w:proofErr w:type="gramEnd"/>
            <w:r w:rsidR="000C2516">
              <w:t xml:space="preserve"> exchange the order of Step 3 and Step 2.4 would be same output.</w:t>
            </w:r>
          </w:p>
        </w:tc>
      </w:tr>
      <w:tr w:rsidR="00B9776D" w:rsidRPr="00BD53E5" w14:paraId="05A21852" w14:textId="77777777" w:rsidTr="000F78A1">
        <w:tc>
          <w:tcPr>
            <w:tcW w:w="1596" w:type="dxa"/>
          </w:tcPr>
          <w:p w14:paraId="032CF90A" w14:textId="68124EBF" w:rsidR="00B9776D" w:rsidRDefault="00B9776D" w:rsidP="00B9776D">
            <w:pPr>
              <w:jc w:val="center"/>
              <w:rPr>
                <w:rFonts w:eastAsiaTheme="minorEastAsia"/>
                <w:b/>
                <w:bCs/>
                <w:lang w:eastAsia="zh-CN"/>
              </w:rPr>
            </w:pPr>
            <w:r>
              <w:rPr>
                <w:rFonts w:eastAsia="Malgun Gothic"/>
                <w:b/>
                <w:bCs/>
                <w:lang w:eastAsia="ko-KR"/>
              </w:rPr>
              <w:t>Intel</w:t>
            </w:r>
          </w:p>
        </w:tc>
        <w:tc>
          <w:tcPr>
            <w:tcW w:w="8119" w:type="dxa"/>
          </w:tcPr>
          <w:p w14:paraId="6F5AB36C" w14:textId="2163E269" w:rsidR="00B9776D" w:rsidRDefault="00B9776D" w:rsidP="00B9776D">
            <w:pPr>
              <w:rPr>
                <w:lang w:eastAsia="zh-CN"/>
              </w:rPr>
            </w:pPr>
            <w:r>
              <w:t xml:space="preserve">We are fine with the proposal. </w:t>
            </w:r>
          </w:p>
        </w:tc>
      </w:tr>
      <w:tr w:rsidR="001E7980" w:rsidRPr="00BD53E5" w14:paraId="04D6D156" w14:textId="77777777" w:rsidTr="000F78A1">
        <w:tc>
          <w:tcPr>
            <w:tcW w:w="1596" w:type="dxa"/>
          </w:tcPr>
          <w:p w14:paraId="2A1E589F" w14:textId="134F8E2A" w:rsidR="001E7980" w:rsidRDefault="001E7980" w:rsidP="001E7980">
            <w:pPr>
              <w:jc w:val="center"/>
              <w:rPr>
                <w:rFonts w:eastAsia="Malgun Gothic"/>
                <w:b/>
                <w:bCs/>
                <w:lang w:eastAsia="ko-KR"/>
              </w:rPr>
            </w:pPr>
            <w:r>
              <w:rPr>
                <w:rFonts w:eastAsia="Malgun Gothic"/>
                <w:b/>
                <w:bCs/>
                <w:lang w:eastAsia="ko-KR"/>
              </w:rPr>
              <w:t>Apple</w:t>
            </w:r>
          </w:p>
        </w:tc>
        <w:tc>
          <w:tcPr>
            <w:tcW w:w="8119" w:type="dxa"/>
          </w:tcPr>
          <w:p w14:paraId="334478F9" w14:textId="77777777" w:rsidR="001E7980" w:rsidRDefault="001E7980" w:rsidP="001E7980">
            <w:pPr>
              <w:rPr>
                <w:lang w:eastAsia="zh-CN"/>
              </w:rPr>
            </w:pPr>
            <w:r>
              <w:rPr>
                <w:lang w:eastAsia="zh-CN"/>
              </w:rPr>
              <w:t xml:space="preserve">Even though we are fine with the principle of the proposal, we think there is still some ambiguity in the proposal, and CATT’s proposal tries to resolve the ambiguity. (We also described a 9-step procedure that targeted similar issues in RAN1#103-e. </w:t>
            </w:r>
            <w:r>
              <w:rPr>
                <w:lang w:eastAsia="zh-CN"/>
              </w:rPr>
              <w:sym w:font="Wingdings" w:char="F04A"/>
            </w:r>
            <w:r>
              <w:rPr>
                <w:lang w:eastAsia="zh-CN"/>
              </w:rPr>
              <w:t>)</w:t>
            </w:r>
          </w:p>
          <w:p w14:paraId="64E1BD46" w14:textId="77777777" w:rsidR="001E7980" w:rsidRDefault="001E7980" w:rsidP="001E7980">
            <w:pPr>
              <w:rPr>
                <w:lang w:eastAsia="zh-CN"/>
              </w:rPr>
            </w:pPr>
            <w:r>
              <w:rPr>
                <w:lang w:eastAsia="zh-CN"/>
              </w:rPr>
              <w:lastRenderedPageBreak/>
              <w:t xml:space="preserve">But before we go into the detailed description, I still would like to use the following example (from last meeting) and check what companies’ understanding for this case. In this example, </w:t>
            </w:r>
            <w:r>
              <w:rPr>
                <w:rFonts w:eastAsia="Yu Mincho"/>
                <w:lang w:eastAsia="ja-JP"/>
              </w:rPr>
              <w:t>DCI1 points to PUCCH1 for HARQ-ACK, which overlaps with SR (PUCCH2). When HARQ-ACK and SR are multiplexed, it would use PUCCH3. Then later on DCI2 comes, and it overrides the previous HARQ-ACK resource and points to PUCCH4 for HARQ-ACK. It still overlaps with SR (PUCCH2</w:t>
            </w:r>
            <w:proofErr w:type="gramStart"/>
            <w:r>
              <w:rPr>
                <w:rFonts w:eastAsia="Yu Mincho"/>
                <w:lang w:eastAsia="ja-JP"/>
              </w:rPr>
              <w:t>), and</w:t>
            </w:r>
            <w:proofErr w:type="gramEnd"/>
            <w:r>
              <w:rPr>
                <w:rFonts w:eastAsia="Yu Mincho"/>
                <w:lang w:eastAsia="ja-JP"/>
              </w:rPr>
              <w:t xml:space="preserve"> multiplexing of HARQ-ACK and SR results in PUCCH5.</w:t>
            </w:r>
          </w:p>
          <w:p w14:paraId="432717F2" w14:textId="77777777" w:rsidR="001E7980" w:rsidRDefault="001E7980" w:rsidP="001E7980">
            <w:pPr>
              <w:jc w:val="center"/>
              <w:rPr>
                <w:lang w:eastAsia="zh-CN"/>
              </w:rPr>
            </w:pPr>
            <w:r w:rsidRPr="002F4D8B">
              <w:rPr>
                <w:rFonts w:eastAsia="Yu Mincho"/>
                <w:noProof/>
                <w:lang w:eastAsia="ja-JP"/>
              </w:rPr>
              <w:drawing>
                <wp:inline distT="0" distB="0" distL="0" distR="0" wp14:anchorId="3C17B182" wp14:editId="7401A3DC">
                  <wp:extent cx="2530057" cy="2492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721" cy="2504735"/>
                          </a:xfrm>
                          <a:prstGeom prst="rect">
                            <a:avLst/>
                          </a:prstGeom>
                        </pic:spPr>
                      </pic:pic>
                    </a:graphicData>
                  </a:graphic>
                </wp:inline>
              </w:drawing>
            </w:r>
          </w:p>
          <w:p w14:paraId="4DCE7FDF" w14:textId="77777777" w:rsidR="001E7980" w:rsidRDefault="001E7980" w:rsidP="001E7980">
            <w:pPr>
              <w:jc w:val="left"/>
              <w:rPr>
                <w:lang w:eastAsia="zh-CN"/>
              </w:rPr>
            </w:pPr>
            <w:r>
              <w:rPr>
                <w:lang w:eastAsia="zh-CN"/>
              </w:rPr>
              <w:t>The questions are:</w:t>
            </w:r>
          </w:p>
          <w:p w14:paraId="060C698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checked against semi-static DL symbols/SSB for cancellation? This is related to step 1 in the proposal.</w:t>
            </w:r>
          </w:p>
          <w:p w14:paraId="25382506"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I don’t think we had a clear agreement on this. Currently we assume the intention that all of the PUCCH1/2/3/4/5 should be checked against semi-static DL symbols. But companies probably have different understandings. </w:t>
            </w:r>
          </w:p>
          <w:p w14:paraId="75F122A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used to cancel LP channels?</w:t>
            </w:r>
          </w:p>
          <w:p w14:paraId="3ECA7752"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Here our understanding of the previous agreements is that all of the PUCCH1/2/3/4/5 should be used to cancel LP channels. But want to see if all the companies share the same </w:t>
            </w:r>
            <w:r>
              <w:rPr>
                <w:sz w:val="20"/>
                <w:szCs w:val="20"/>
                <w:lang w:eastAsia="zh-CN"/>
              </w:rPr>
              <w:t>understanding</w:t>
            </w:r>
            <w:r w:rsidRPr="009F2126">
              <w:rPr>
                <w:sz w:val="20"/>
                <w:szCs w:val="20"/>
                <w:lang w:eastAsia="zh-CN"/>
              </w:rPr>
              <w:t>.</w:t>
            </w:r>
          </w:p>
          <w:p w14:paraId="693A8395" w14:textId="78504FF0" w:rsidR="001E7980" w:rsidRDefault="001E7980" w:rsidP="001E7980">
            <w:r>
              <w:rPr>
                <w:lang w:eastAsia="zh-CN"/>
              </w:rPr>
              <w:t xml:space="preserve">Related to Q1 above, I think the procedure could be quite complicated, and the effort to align understanding could also be quite significant. Given that the main purpose is to ensure common understanding between </w:t>
            </w:r>
            <w:proofErr w:type="spellStart"/>
            <w:r>
              <w:rPr>
                <w:lang w:eastAsia="zh-CN"/>
              </w:rPr>
              <w:t>gNB</w:t>
            </w:r>
            <w:proofErr w:type="spellEnd"/>
            <w:r>
              <w:rPr>
                <w:lang w:eastAsia="zh-CN"/>
              </w:rPr>
              <w:t xml:space="preserve"> and UE, </w:t>
            </w:r>
            <w:r w:rsidRPr="000F2D12">
              <w:rPr>
                <w:b/>
                <w:bCs/>
                <w:lang w:eastAsia="zh-CN"/>
              </w:rPr>
              <w:t>I wonder if we could take Ericsson’s suggestion to do cancellation due to semi-static DL symbols/SSB as the last step</w:t>
            </w:r>
            <w:r>
              <w:rPr>
                <w:lang w:eastAsia="zh-CN"/>
              </w:rPr>
              <w:t xml:space="preserve">, together with the cancellation due to dynamic DCI. This would simplify the situation significantly. Of course, we can always find cases where this does not give the best performance (which would be true for any other procedure). But as long as the </w:t>
            </w:r>
            <w:proofErr w:type="spellStart"/>
            <w:r>
              <w:rPr>
                <w:lang w:eastAsia="zh-CN"/>
              </w:rPr>
              <w:t>gNB</w:t>
            </w:r>
            <w:proofErr w:type="spellEnd"/>
            <w:r>
              <w:rPr>
                <w:lang w:eastAsia="zh-CN"/>
              </w:rPr>
              <w:t xml:space="preserve"> knows the exact procedure, it can schedule properly to avoid the unfavorable cases.</w:t>
            </w:r>
          </w:p>
        </w:tc>
      </w:tr>
    </w:tbl>
    <w:p w14:paraId="44B7BC08" w14:textId="3C8C9193" w:rsidR="009F1C01" w:rsidRDefault="009F1C01"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lastRenderedPageBreak/>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proofErr w:type="spellStart"/>
      <w:r w:rsidR="001A05BA">
        <w:rPr>
          <w:i/>
          <w:iCs/>
        </w:rPr>
        <w:t>ignaling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3067A7">
        <w:tc>
          <w:tcPr>
            <w:tcW w:w="1596" w:type="dxa"/>
          </w:tcPr>
          <w:p w14:paraId="5B84906C" w14:textId="77777777" w:rsidR="007129D4" w:rsidRPr="00824F3D" w:rsidRDefault="007129D4" w:rsidP="003067A7">
            <w:pPr>
              <w:jc w:val="center"/>
              <w:rPr>
                <w:b/>
                <w:bCs/>
              </w:rPr>
            </w:pPr>
            <w:r w:rsidRPr="00824F3D">
              <w:rPr>
                <w:b/>
                <w:bCs/>
              </w:rPr>
              <w:t>Company</w:t>
            </w:r>
          </w:p>
        </w:tc>
        <w:tc>
          <w:tcPr>
            <w:tcW w:w="8119" w:type="dxa"/>
          </w:tcPr>
          <w:p w14:paraId="07A5624B" w14:textId="77777777" w:rsidR="007129D4" w:rsidRPr="00824F3D" w:rsidRDefault="007129D4" w:rsidP="003067A7">
            <w:pPr>
              <w:jc w:val="center"/>
              <w:rPr>
                <w:b/>
                <w:bCs/>
              </w:rPr>
            </w:pPr>
            <w:r>
              <w:rPr>
                <w:b/>
                <w:bCs/>
              </w:rPr>
              <w:t>Comment</w:t>
            </w:r>
          </w:p>
        </w:tc>
      </w:tr>
      <w:tr w:rsidR="007129D4" w14:paraId="0850269A" w14:textId="77777777" w:rsidTr="003067A7">
        <w:tc>
          <w:tcPr>
            <w:tcW w:w="1596" w:type="dxa"/>
          </w:tcPr>
          <w:p w14:paraId="396C6458" w14:textId="2ADDEC41" w:rsidR="007129D4" w:rsidRPr="00824F3D" w:rsidRDefault="00F86810" w:rsidP="003067A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3067A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3067A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3067A7">
        <w:tc>
          <w:tcPr>
            <w:tcW w:w="1596" w:type="dxa"/>
          </w:tcPr>
          <w:p w14:paraId="2B8AF674" w14:textId="72FED2C3"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3067A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3067A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3067A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3067A7">
            <w:pPr>
              <w:jc w:val="center"/>
              <w:rPr>
                <w:b/>
                <w:bCs/>
                <w:lang w:eastAsia="zh-CN"/>
              </w:rPr>
            </w:pPr>
            <w:r>
              <w:rPr>
                <w:b/>
                <w:bCs/>
                <w:lang w:eastAsia="zh-CN"/>
              </w:rPr>
              <w:t>Nokia, NSB</w:t>
            </w:r>
          </w:p>
        </w:tc>
        <w:tc>
          <w:tcPr>
            <w:tcW w:w="8119" w:type="dxa"/>
          </w:tcPr>
          <w:p w14:paraId="615FD713" w14:textId="77777777" w:rsidR="000F78A1" w:rsidRPr="00D26108" w:rsidRDefault="000F78A1" w:rsidP="003067A7">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3067A7">
            <w:pPr>
              <w:jc w:val="center"/>
              <w:rPr>
                <w:b/>
                <w:bCs/>
                <w:lang w:eastAsia="zh-CN"/>
              </w:rPr>
            </w:pPr>
            <w:r>
              <w:rPr>
                <w:b/>
                <w:bCs/>
                <w:lang w:eastAsia="zh-CN"/>
              </w:rPr>
              <w:t>Ericsson</w:t>
            </w:r>
          </w:p>
        </w:tc>
        <w:tc>
          <w:tcPr>
            <w:tcW w:w="8119" w:type="dxa"/>
          </w:tcPr>
          <w:p w14:paraId="07729CAC" w14:textId="4950FAFA" w:rsidR="000A0345" w:rsidRDefault="000A0345" w:rsidP="003067A7">
            <w:pPr>
              <w:rPr>
                <w:bCs/>
                <w:lang w:eastAsia="zh-CN"/>
              </w:rPr>
            </w:pPr>
            <w:r>
              <w:rPr>
                <w:bCs/>
                <w:lang w:eastAsia="zh-CN"/>
              </w:rPr>
              <w:t>Fine with the proposal</w:t>
            </w:r>
          </w:p>
        </w:tc>
      </w:tr>
      <w:tr w:rsidR="00AC17ED" w:rsidRPr="00D26108" w14:paraId="4CFAF08C" w14:textId="77777777" w:rsidTr="000F78A1">
        <w:tc>
          <w:tcPr>
            <w:tcW w:w="1596" w:type="dxa"/>
          </w:tcPr>
          <w:p w14:paraId="0BFE5CFB" w14:textId="19AB0BB7" w:rsidR="00AC17ED" w:rsidRDefault="00AC17ED" w:rsidP="00AC17ED">
            <w:pPr>
              <w:jc w:val="center"/>
              <w:rPr>
                <w:b/>
                <w:bCs/>
                <w:lang w:eastAsia="zh-CN"/>
              </w:rPr>
            </w:pPr>
            <w:r>
              <w:rPr>
                <w:rFonts w:eastAsia="Malgun Gothic" w:hint="eastAsia"/>
                <w:b/>
                <w:bCs/>
                <w:lang w:eastAsia="ko-KR"/>
              </w:rPr>
              <w:t>Samsung</w:t>
            </w:r>
          </w:p>
        </w:tc>
        <w:tc>
          <w:tcPr>
            <w:tcW w:w="8119" w:type="dxa"/>
          </w:tcPr>
          <w:p w14:paraId="3841BCF6" w14:textId="51ED19C9" w:rsidR="00AC17ED" w:rsidRDefault="00AC17ED" w:rsidP="00AC17ED">
            <w:pPr>
              <w:rPr>
                <w:bCs/>
                <w:lang w:eastAsia="zh-CN"/>
              </w:rPr>
            </w:pPr>
            <w:r>
              <w:rPr>
                <w:rFonts w:eastAsia="Malgun Gothic" w:hint="eastAsia"/>
                <w:bCs/>
                <w:lang w:eastAsia="ko-KR"/>
              </w:rPr>
              <w:t>Fine with the proposal</w:t>
            </w:r>
          </w:p>
        </w:tc>
      </w:tr>
      <w:tr w:rsidR="000C2516" w:rsidRPr="00D26108" w14:paraId="1E7D5373" w14:textId="77777777" w:rsidTr="000F78A1">
        <w:tc>
          <w:tcPr>
            <w:tcW w:w="1596" w:type="dxa"/>
          </w:tcPr>
          <w:p w14:paraId="6327912E" w14:textId="48F7210B" w:rsidR="000C2516" w:rsidRPr="000C2516" w:rsidRDefault="000C2516" w:rsidP="00AC17ED">
            <w:pPr>
              <w:jc w:val="center"/>
              <w:rPr>
                <w:rFonts w:eastAsiaTheme="minorEastAsia"/>
                <w:b/>
                <w:bCs/>
                <w:lang w:eastAsia="zh-CN"/>
              </w:rPr>
            </w:pPr>
            <w:r>
              <w:rPr>
                <w:rFonts w:eastAsiaTheme="minorEastAsia" w:hint="eastAsia"/>
                <w:b/>
                <w:bCs/>
                <w:lang w:eastAsia="zh-CN"/>
              </w:rPr>
              <w:t>Spreadtrum</w:t>
            </w:r>
          </w:p>
        </w:tc>
        <w:tc>
          <w:tcPr>
            <w:tcW w:w="8119" w:type="dxa"/>
          </w:tcPr>
          <w:p w14:paraId="7FF96AA6" w14:textId="4BBB7AA9" w:rsidR="000C2516" w:rsidRPr="000C2516" w:rsidRDefault="000C2516" w:rsidP="00AC17ED">
            <w:pPr>
              <w:rPr>
                <w:rFonts w:eastAsiaTheme="minorEastAsia"/>
                <w:bCs/>
                <w:lang w:eastAsia="zh-CN"/>
              </w:rPr>
            </w:pPr>
            <w:r>
              <w:rPr>
                <w:rFonts w:eastAsiaTheme="minorEastAsia" w:hint="eastAsia"/>
                <w:bCs/>
                <w:lang w:eastAsia="zh-CN"/>
              </w:rPr>
              <w:t>Fine with the proposal.</w:t>
            </w:r>
          </w:p>
        </w:tc>
      </w:tr>
      <w:tr w:rsidR="00637D5A" w:rsidRPr="00D26108" w14:paraId="1B9F70A0" w14:textId="77777777" w:rsidTr="000F78A1">
        <w:tc>
          <w:tcPr>
            <w:tcW w:w="1596" w:type="dxa"/>
          </w:tcPr>
          <w:p w14:paraId="2F30D859" w14:textId="2F10E15E" w:rsidR="00637D5A" w:rsidRDefault="00637D5A" w:rsidP="00637D5A">
            <w:pPr>
              <w:jc w:val="center"/>
              <w:rPr>
                <w:rFonts w:eastAsiaTheme="minorEastAsia"/>
                <w:b/>
                <w:bCs/>
                <w:lang w:eastAsia="zh-CN"/>
              </w:rPr>
            </w:pPr>
            <w:r>
              <w:rPr>
                <w:rFonts w:eastAsia="Malgun Gothic"/>
                <w:b/>
                <w:bCs/>
                <w:lang w:eastAsia="ko-KR"/>
              </w:rPr>
              <w:t>Intel</w:t>
            </w:r>
          </w:p>
        </w:tc>
        <w:tc>
          <w:tcPr>
            <w:tcW w:w="8119" w:type="dxa"/>
          </w:tcPr>
          <w:p w14:paraId="7FE8A8C4" w14:textId="75729C20" w:rsidR="00637D5A" w:rsidRDefault="00637D5A" w:rsidP="00637D5A">
            <w:pPr>
              <w:rPr>
                <w:rFonts w:eastAsiaTheme="minorEastAsia"/>
                <w:bCs/>
                <w:lang w:eastAsia="zh-CN"/>
              </w:rPr>
            </w:pPr>
            <w:r>
              <w:rPr>
                <w:rFonts w:eastAsia="Malgun Gothic"/>
                <w:bCs/>
                <w:lang w:eastAsia="ko-KR"/>
              </w:rPr>
              <w:t>Fine with the proposal. Just to confirm, here, we consider this as a “Proposed Conclusion” as was done for CPU occupancy.</w:t>
            </w:r>
          </w:p>
        </w:tc>
      </w:tr>
      <w:tr w:rsidR="001E7980" w:rsidRPr="00D26108" w14:paraId="5349912C" w14:textId="77777777" w:rsidTr="000F78A1">
        <w:tc>
          <w:tcPr>
            <w:tcW w:w="1596" w:type="dxa"/>
          </w:tcPr>
          <w:p w14:paraId="056ED464" w14:textId="11716A9F" w:rsidR="001E7980" w:rsidRDefault="00666BB2" w:rsidP="00637D5A">
            <w:pPr>
              <w:jc w:val="center"/>
              <w:rPr>
                <w:rFonts w:eastAsia="Malgun Gothic"/>
                <w:b/>
                <w:bCs/>
                <w:lang w:eastAsia="ko-KR"/>
              </w:rPr>
            </w:pPr>
            <w:r>
              <w:rPr>
                <w:rFonts w:eastAsia="Malgun Gothic"/>
                <w:b/>
                <w:bCs/>
                <w:lang w:eastAsia="ko-KR"/>
              </w:rPr>
              <w:t>Apple</w:t>
            </w:r>
          </w:p>
        </w:tc>
        <w:tc>
          <w:tcPr>
            <w:tcW w:w="8119" w:type="dxa"/>
          </w:tcPr>
          <w:p w14:paraId="07D6B77B" w14:textId="25D7BEC3" w:rsidR="001E7980" w:rsidRDefault="00666BB2" w:rsidP="00637D5A">
            <w:pPr>
              <w:rPr>
                <w:rFonts w:eastAsia="Malgun Gothic"/>
                <w:bCs/>
                <w:lang w:eastAsia="ko-KR"/>
              </w:rPr>
            </w:pPr>
            <w:r>
              <w:rPr>
                <w:rFonts w:eastAsiaTheme="minorEastAsia"/>
                <w:bCs/>
                <w:lang w:eastAsia="zh-CN"/>
              </w:rPr>
              <w:t>Fine with</w:t>
            </w:r>
            <w:r>
              <w:rPr>
                <w:rFonts w:eastAsiaTheme="minorEastAsia"/>
                <w:bCs/>
                <w:lang w:eastAsia="zh-CN"/>
              </w:rPr>
              <w:t xml:space="preserve"> the proposal. </w:t>
            </w:r>
            <w:r>
              <w:rPr>
                <w:rFonts w:eastAsiaTheme="minorEastAsia"/>
                <w:bCs/>
                <w:lang w:eastAsia="zh-CN"/>
              </w:rPr>
              <w:t>Similar to Intel, we</w:t>
            </w:r>
            <w:r>
              <w:rPr>
                <w:rFonts w:eastAsiaTheme="minorEastAsia"/>
                <w:bCs/>
                <w:lang w:eastAsia="zh-CN"/>
              </w:rPr>
              <w:t xml:space="preserve"> wonder if we plan to have a TP for it or not. </w:t>
            </w:r>
            <w:r w:rsidR="00BB56E1">
              <w:rPr>
                <w:rFonts w:eastAsiaTheme="minorEastAsia"/>
                <w:bCs/>
                <w:lang w:eastAsia="zh-CN"/>
              </w:rPr>
              <w:t>I</w:t>
            </w:r>
            <w:r w:rsidR="00F15A54">
              <w:rPr>
                <w:rFonts w:eastAsiaTheme="minorEastAsia"/>
                <w:bCs/>
                <w:lang w:eastAsia="zh-CN"/>
              </w:rPr>
              <w:t xml:space="preserve">t seemed that we had a TP </w:t>
            </w:r>
            <w:r w:rsidR="00BB56E1">
              <w:rPr>
                <w:rFonts w:eastAsiaTheme="minorEastAsia"/>
                <w:bCs/>
                <w:lang w:eastAsia="zh-CN"/>
              </w:rPr>
              <w:t xml:space="preserve">for 38.214 </w:t>
            </w:r>
            <w:proofErr w:type="gramStart"/>
            <w:r w:rsidR="00F15A54">
              <w:rPr>
                <w:rFonts w:eastAsiaTheme="minorEastAsia"/>
                <w:bCs/>
                <w:lang w:eastAsia="zh-CN"/>
              </w:rPr>
              <w:t>e.g.</w:t>
            </w:r>
            <w:proofErr w:type="gramEnd"/>
            <w:r w:rsidR="00F15A54">
              <w:rPr>
                <w:rFonts w:eastAsiaTheme="minorEastAsia"/>
                <w:bCs/>
                <w:lang w:eastAsia="zh-CN"/>
              </w:rPr>
              <w:t xml:space="preserve"> to</w:t>
            </w:r>
            <w:r>
              <w:rPr>
                <w:rFonts w:eastAsiaTheme="minorEastAsia"/>
                <w:bCs/>
                <w:lang w:eastAsia="zh-CN"/>
              </w:rPr>
              <w:t xml:space="preserve"> change “PUSCH” to “scheduled PUSCH” to reflect the agreement</w:t>
            </w:r>
            <w:r>
              <w:rPr>
                <w:rFonts w:eastAsiaTheme="minorEastAsia"/>
                <w:bCs/>
                <w:lang w:eastAsia="zh-CN"/>
              </w:rPr>
              <w:t xml:space="preserve"> for CPU occupancy</w:t>
            </w:r>
            <w:r w:rsidR="00BB56E1">
              <w:rPr>
                <w:rFonts w:eastAsiaTheme="minorEastAsia"/>
                <w:bCs/>
                <w:lang w:eastAsia="zh-CN"/>
              </w:rPr>
              <w:t>, but it did not got incorporated into 38.214.</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Heading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lastRenderedPageBreak/>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3067A7">
        <w:tc>
          <w:tcPr>
            <w:tcW w:w="9629" w:type="dxa"/>
          </w:tcPr>
          <w:p w14:paraId="1C27C20A" w14:textId="77777777" w:rsidR="007129D4" w:rsidRPr="00090458" w:rsidRDefault="007129D4" w:rsidP="003067A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3067A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3067A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3067A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3067A7">
            <w:r w:rsidRPr="0023398F">
              <w:t xml:space="preserve">where </w:t>
            </w:r>
          </w:p>
          <w:p w14:paraId="52B2A420"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3067A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3067A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3067A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3067A7">
        <w:tc>
          <w:tcPr>
            <w:tcW w:w="1596" w:type="dxa"/>
          </w:tcPr>
          <w:p w14:paraId="6DA99A31" w14:textId="77777777" w:rsidR="00D83007" w:rsidRPr="00824F3D" w:rsidRDefault="00D83007" w:rsidP="003067A7">
            <w:pPr>
              <w:jc w:val="center"/>
              <w:rPr>
                <w:b/>
                <w:bCs/>
              </w:rPr>
            </w:pPr>
            <w:r w:rsidRPr="00824F3D">
              <w:rPr>
                <w:b/>
                <w:bCs/>
              </w:rPr>
              <w:t>Company</w:t>
            </w:r>
          </w:p>
        </w:tc>
        <w:tc>
          <w:tcPr>
            <w:tcW w:w="8119" w:type="dxa"/>
          </w:tcPr>
          <w:p w14:paraId="1E8D2EBB" w14:textId="77777777" w:rsidR="00D83007" w:rsidRPr="00824F3D" w:rsidRDefault="00D83007" w:rsidP="003067A7">
            <w:pPr>
              <w:jc w:val="center"/>
              <w:rPr>
                <w:b/>
                <w:bCs/>
              </w:rPr>
            </w:pPr>
            <w:r>
              <w:rPr>
                <w:b/>
                <w:bCs/>
              </w:rPr>
              <w:t>Comment</w:t>
            </w:r>
          </w:p>
        </w:tc>
      </w:tr>
      <w:tr w:rsidR="00D83007" w14:paraId="59AE3667" w14:textId="77777777" w:rsidTr="003067A7">
        <w:tc>
          <w:tcPr>
            <w:tcW w:w="1596" w:type="dxa"/>
          </w:tcPr>
          <w:p w14:paraId="1209B455" w14:textId="798CDE91" w:rsidR="00D83007" w:rsidRPr="00824F3D" w:rsidRDefault="00B11621" w:rsidP="003067A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3067A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3067A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3067A7">
        <w:tc>
          <w:tcPr>
            <w:tcW w:w="1596" w:type="dxa"/>
          </w:tcPr>
          <w:p w14:paraId="5C2BA6FB" w14:textId="6ED87E06" w:rsidR="001A05BA" w:rsidRDefault="001A05BA" w:rsidP="00D01C3B">
            <w:pPr>
              <w:jc w:val="center"/>
              <w:rPr>
                <w:b/>
                <w:bCs/>
                <w:lang w:eastAsia="zh-CN"/>
              </w:rPr>
            </w:pPr>
            <w:r>
              <w:rPr>
                <w:b/>
                <w:bCs/>
                <w:lang w:eastAsia="zh-CN"/>
              </w:rPr>
              <w:lastRenderedPageBreak/>
              <w:t>HW/</w:t>
            </w:r>
            <w:proofErr w:type="spellStart"/>
            <w:r>
              <w:rPr>
                <w:b/>
                <w:bCs/>
                <w:lang w:eastAsia="zh-CN"/>
              </w:rPr>
              <w:t>HiSi</w:t>
            </w:r>
            <w:proofErr w:type="spellEnd"/>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3067A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3067A7">
        <w:tc>
          <w:tcPr>
            <w:tcW w:w="1596" w:type="dxa"/>
          </w:tcPr>
          <w:p w14:paraId="15F83EAD" w14:textId="6A1974D2"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w:t>
            </w:r>
            <w:proofErr w:type="spellStart"/>
            <w:r>
              <w:rPr>
                <w:lang w:eastAsia="zh-CN"/>
              </w:rPr>
              <w:t>HiSi</w:t>
            </w:r>
            <w:proofErr w:type="spellEnd"/>
            <w:r>
              <w:rPr>
                <w:lang w:eastAsia="zh-CN"/>
              </w:rPr>
              <w:t>. Additional information from red wording is not clear.</w:t>
            </w:r>
          </w:p>
        </w:tc>
      </w:tr>
      <w:tr w:rsidR="003C13D9" w14:paraId="128F86C7" w14:textId="77777777" w:rsidTr="003067A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w:t>
            </w:r>
            <w:proofErr w:type="spellStart"/>
            <w:r>
              <w:rPr>
                <w:rFonts w:eastAsia="Yu Mincho" w:hint="eastAsia"/>
                <w:lang w:eastAsia="ja-JP"/>
              </w:rPr>
              <w:t>HiSi</w:t>
            </w:r>
            <w:proofErr w:type="spellEnd"/>
            <w:r>
              <w:rPr>
                <w:rFonts w:eastAsia="Yu Mincho" w:hint="eastAsia"/>
                <w:lang w:eastAsia="ja-JP"/>
              </w:rPr>
              <w:t>.</w:t>
            </w:r>
          </w:p>
        </w:tc>
      </w:tr>
      <w:tr w:rsidR="000F78A1" w:rsidRPr="00BD53E5" w14:paraId="64282F03" w14:textId="77777777" w:rsidTr="000F78A1">
        <w:tc>
          <w:tcPr>
            <w:tcW w:w="1596" w:type="dxa"/>
          </w:tcPr>
          <w:p w14:paraId="64A8EE63" w14:textId="77777777" w:rsidR="000F78A1" w:rsidRPr="00BD53E5" w:rsidRDefault="000F78A1" w:rsidP="003067A7">
            <w:pPr>
              <w:jc w:val="center"/>
              <w:rPr>
                <w:b/>
                <w:bCs/>
                <w:lang w:eastAsia="zh-CN"/>
              </w:rPr>
            </w:pPr>
            <w:r w:rsidRPr="00BD53E5">
              <w:rPr>
                <w:b/>
                <w:bCs/>
              </w:rPr>
              <w:t>Nokia, NSB</w:t>
            </w:r>
          </w:p>
        </w:tc>
        <w:tc>
          <w:tcPr>
            <w:tcW w:w="8119" w:type="dxa"/>
          </w:tcPr>
          <w:p w14:paraId="3FCE3085" w14:textId="58F37E11" w:rsidR="000F78A1" w:rsidRPr="00BD53E5" w:rsidRDefault="000F78A1" w:rsidP="003067A7">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3067A7">
            <w:pPr>
              <w:jc w:val="center"/>
              <w:rPr>
                <w:b/>
                <w:bCs/>
              </w:rPr>
            </w:pPr>
            <w:r>
              <w:rPr>
                <w:b/>
                <w:bCs/>
              </w:rPr>
              <w:t>Ericsson</w:t>
            </w:r>
          </w:p>
        </w:tc>
        <w:tc>
          <w:tcPr>
            <w:tcW w:w="8119" w:type="dxa"/>
          </w:tcPr>
          <w:p w14:paraId="547C4940" w14:textId="419B32BB" w:rsidR="000A0345" w:rsidRPr="00BD53E5" w:rsidRDefault="000A0345" w:rsidP="003067A7">
            <w:r>
              <w:t xml:space="preserve">We share the same view. Adding the current text, would be redundant in a sense that in that point, there </w:t>
            </w:r>
            <w:proofErr w:type="spellStart"/>
            <w:proofErr w:type="gramStart"/>
            <w:r>
              <w:t>wont</w:t>
            </w:r>
            <w:proofErr w:type="spellEnd"/>
            <w:proofErr w:type="gramEnd"/>
            <w:r>
              <w:t xml:space="preserve"> be no overlapping HL and LP.</w:t>
            </w:r>
          </w:p>
        </w:tc>
      </w:tr>
      <w:tr w:rsidR="00AC17ED" w:rsidRPr="00BD53E5" w14:paraId="7D588CB8" w14:textId="77777777" w:rsidTr="000F78A1">
        <w:tc>
          <w:tcPr>
            <w:tcW w:w="1596" w:type="dxa"/>
          </w:tcPr>
          <w:p w14:paraId="32586D01" w14:textId="35E0A874" w:rsidR="00AC17ED" w:rsidRDefault="00AC17ED" w:rsidP="00AC17ED">
            <w:pPr>
              <w:jc w:val="center"/>
              <w:rPr>
                <w:b/>
                <w:bCs/>
              </w:rPr>
            </w:pPr>
            <w:r>
              <w:rPr>
                <w:rFonts w:eastAsia="Malgun Gothic" w:hint="eastAsia"/>
                <w:b/>
                <w:bCs/>
                <w:lang w:eastAsia="ko-KR"/>
              </w:rPr>
              <w:t>Samsung</w:t>
            </w:r>
          </w:p>
        </w:tc>
        <w:tc>
          <w:tcPr>
            <w:tcW w:w="8119" w:type="dxa"/>
          </w:tcPr>
          <w:p w14:paraId="055A8979" w14:textId="06AB451B" w:rsidR="00AC17ED" w:rsidRDefault="00AC17ED" w:rsidP="00AC17ED">
            <w:r>
              <w:rPr>
                <w:rFonts w:eastAsia="Malgun Gothic"/>
                <w:lang w:eastAsia="ko-KR"/>
              </w:rPr>
              <w:t xml:space="preserve">No need for the TP. </w:t>
            </w:r>
            <w:r>
              <w:rPr>
                <w:rFonts w:eastAsia="Malgun Gothic" w:hint="eastAsia"/>
                <w:lang w:eastAsia="ko-KR"/>
              </w:rPr>
              <w:t>Agree with HW/</w:t>
            </w:r>
            <w:proofErr w:type="spellStart"/>
            <w:r>
              <w:rPr>
                <w:rFonts w:eastAsia="Malgun Gothic" w:hint="eastAsia"/>
                <w:lang w:eastAsia="ko-KR"/>
              </w:rPr>
              <w:t>HiSi</w:t>
            </w:r>
            <w:proofErr w:type="spellEnd"/>
          </w:p>
        </w:tc>
      </w:tr>
      <w:tr w:rsidR="005E0E43" w:rsidRPr="00BD53E5" w14:paraId="3A36959C" w14:textId="77777777" w:rsidTr="000F78A1">
        <w:tc>
          <w:tcPr>
            <w:tcW w:w="1596" w:type="dxa"/>
          </w:tcPr>
          <w:p w14:paraId="5EDF42C0" w14:textId="6FE881B3" w:rsidR="005E0E43" w:rsidRDefault="005E0E43" w:rsidP="005E0E43">
            <w:pPr>
              <w:jc w:val="center"/>
              <w:rPr>
                <w:rFonts w:eastAsia="Malgun Gothic"/>
                <w:b/>
                <w:bCs/>
                <w:lang w:eastAsia="ko-KR"/>
              </w:rPr>
            </w:pPr>
            <w:r>
              <w:rPr>
                <w:rFonts w:eastAsia="Malgun Gothic"/>
                <w:b/>
                <w:bCs/>
                <w:lang w:eastAsia="ko-KR"/>
              </w:rPr>
              <w:t>Intel</w:t>
            </w:r>
          </w:p>
        </w:tc>
        <w:tc>
          <w:tcPr>
            <w:tcW w:w="8119" w:type="dxa"/>
          </w:tcPr>
          <w:p w14:paraId="3610B683" w14:textId="45C4AF7B" w:rsidR="005E0E43" w:rsidRDefault="005E0E43" w:rsidP="005E0E43">
            <w:pPr>
              <w:rPr>
                <w:rFonts w:eastAsia="Malgun Gothic"/>
                <w:lang w:eastAsia="ko-KR"/>
              </w:rPr>
            </w:pPr>
            <w:r>
              <w:rPr>
                <w:rFonts w:eastAsia="Malgun Gothic"/>
                <w:lang w:eastAsia="ko-KR"/>
              </w:rPr>
              <w:t xml:space="preserve">Similar understanding as Huawei and others that the TP may not be needed. </w:t>
            </w:r>
          </w:p>
        </w:tc>
      </w:tr>
      <w:tr w:rsidR="00A00CA7" w:rsidRPr="00BD53E5" w14:paraId="575104A7" w14:textId="77777777" w:rsidTr="000F78A1">
        <w:tc>
          <w:tcPr>
            <w:tcW w:w="1596" w:type="dxa"/>
          </w:tcPr>
          <w:p w14:paraId="552E58BD" w14:textId="6E7439E3" w:rsidR="00A00CA7" w:rsidRDefault="00A00CA7" w:rsidP="005E0E43">
            <w:pPr>
              <w:jc w:val="center"/>
              <w:rPr>
                <w:rFonts w:eastAsia="Malgun Gothic"/>
                <w:b/>
                <w:bCs/>
                <w:lang w:eastAsia="ko-KR"/>
              </w:rPr>
            </w:pPr>
            <w:r>
              <w:rPr>
                <w:rFonts w:eastAsia="Malgun Gothic"/>
                <w:b/>
                <w:bCs/>
                <w:lang w:eastAsia="ko-KR"/>
              </w:rPr>
              <w:t>Apple</w:t>
            </w:r>
          </w:p>
        </w:tc>
        <w:tc>
          <w:tcPr>
            <w:tcW w:w="8119" w:type="dxa"/>
          </w:tcPr>
          <w:p w14:paraId="6E0F2D7D" w14:textId="3253E220" w:rsidR="00A00CA7" w:rsidRDefault="00A00CA7" w:rsidP="005E0E43">
            <w:pPr>
              <w:rPr>
                <w:rFonts w:eastAsia="Malgun Gothic"/>
                <w:lang w:eastAsia="ko-KR"/>
              </w:rPr>
            </w:pPr>
            <w:r>
              <w:rPr>
                <w:rFonts w:eastAsia="Malgun Gothic"/>
                <w:lang w:eastAsia="ko-KR"/>
              </w:rPr>
              <w:t>We agree this can be discussed together with Issue #2.</w:t>
            </w: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ACDFE" w14:textId="77777777" w:rsidR="00B60275" w:rsidRDefault="00B60275">
      <w:r>
        <w:separator/>
      </w:r>
    </w:p>
  </w:endnote>
  <w:endnote w:type="continuationSeparator" w:id="0">
    <w:p w14:paraId="3D5EE1FC" w14:textId="77777777" w:rsidR="00B60275" w:rsidRDefault="00B60275">
      <w:r>
        <w:continuationSeparator/>
      </w:r>
    </w:p>
  </w:endnote>
  <w:endnote w:type="continuationNotice" w:id="1">
    <w:p w14:paraId="184BF1F4" w14:textId="77777777" w:rsidR="00B60275" w:rsidRDefault="00B60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Roman">
    <w:altName w:val="Times New Roman"/>
    <w:panose1 w:val="00000500000000020000"/>
    <w:charset w:val="00"/>
    <w:family w:val="auto"/>
    <w:notTrueType/>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F825B2" w:rsidRDefault="00F825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825B2" w:rsidRDefault="00F825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6A7C2BB8" w:rsidR="00F825B2" w:rsidRDefault="00F825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0C251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2516">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5D196" w14:textId="77777777" w:rsidR="00B60275" w:rsidRDefault="00B60275">
      <w:r>
        <w:separator/>
      </w:r>
    </w:p>
  </w:footnote>
  <w:footnote w:type="continuationSeparator" w:id="0">
    <w:p w14:paraId="5C403F94" w14:textId="77777777" w:rsidR="00B60275" w:rsidRDefault="00B60275">
      <w:r>
        <w:continuationSeparator/>
      </w:r>
    </w:p>
  </w:footnote>
  <w:footnote w:type="continuationNotice" w:id="1">
    <w:p w14:paraId="0C96378A" w14:textId="77777777" w:rsidR="00B60275" w:rsidRDefault="00B60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3"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3"/>
  </w:num>
  <w:num w:numId="7">
    <w:abstractNumId w:val="26"/>
  </w:num>
  <w:num w:numId="8">
    <w:abstractNumId w:val="1"/>
  </w:num>
  <w:num w:numId="9">
    <w:abstractNumId w:val="35"/>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8"/>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4"/>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2"/>
  </w:num>
  <w:num w:numId="36">
    <w:abstractNumId w:val="4"/>
  </w:num>
  <w:num w:numId="37">
    <w:abstractNumId w:val="25"/>
  </w:num>
  <w:num w:numId="38">
    <w:abstractNumId w:val="2"/>
  </w:num>
  <w:num w:numId="39">
    <w:abstractNumId w:val="37"/>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6B6"/>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5B47C0-F559-4338-ACD0-BAFF5F56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10</Pages>
  <Words>3689</Words>
  <Characters>21029</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Sigen Ye</cp:lastModifiedBy>
  <cp:revision>9</cp:revision>
  <cp:lastPrinted>2016-09-30T01:19:00Z</cp:lastPrinted>
  <dcterms:created xsi:type="dcterms:W3CDTF">2021-01-27T02:21:00Z</dcterms:created>
  <dcterms:modified xsi:type="dcterms:W3CDTF">2021-01-27T04:07:00Z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