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 xml:space="preserve">Issue#4: Clarification of </w:t>
      </w:r>
      <w:proofErr w:type="spellStart"/>
      <w:r w:rsidRPr="00F71A7E">
        <w:rPr>
          <w:sz w:val="21"/>
          <w:szCs w:val="21"/>
          <w:highlight w:val="cyan"/>
        </w:rPr>
        <w:t>T</w:t>
      </w:r>
      <w:r w:rsidRPr="00C03321">
        <w:rPr>
          <w:sz w:val="21"/>
          <w:szCs w:val="21"/>
          <w:highlight w:val="cyan"/>
          <w:vertAlign w:val="subscript"/>
        </w:rPr>
        <w:t>switch</w:t>
      </w:r>
      <w:proofErr w:type="spellEnd"/>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For Rel-16 inter-band UL CA, </w:t>
      </w:r>
      <w:proofErr w:type="gramStart"/>
      <w:r w:rsidRPr="00F71A7E">
        <w:rPr>
          <w:sz w:val="21"/>
          <w:szCs w:val="21"/>
          <w:highlight w:val="cyan"/>
        </w:rPr>
        <w:t>SUL</w:t>
      </w:r>
      <w:proofErr w:type="gramEnd"/>
      <w:r w:rsidRPr="00F71A7E">
        <w:rPr>
          <w:sz w:val="21"/>
          <w:szCs w:val="21"/>
          <w:highlight w:val="cyan"/>
        </w:rPr>
        <w:t xml:space="preserve">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No spec </w:t>
      </w:r>
      <w:proofErr w:type="gramStart"/>
      <w:r w:rsidRPr="00F71A7E">
        <w:rPr>
          <w:sz w:val="21"/>
          <w:szCs w:val="21"/>
          <w:highlight w:val="cyan"/>
        </w:rPr>
        <w:t>impact</w:t>
      </w:r>
      <w:proofErr w:type="gramEnd"/>
      <w:r w:rsidRPr="00F71A7E">
        <w:rPr>
          <w:sz w:val="21"/>
          <w:szCs w:val="21"/>
          <w:highlight w:val="cyan"/>
        </w:rPr>
        <w: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387259">
        <w:tc>
          <w:tcPr>
            <w:tcW w:w="9855" w:type="dxa"/>
            <w:shd w:val="clear" w:color="auto" w:fill="auto"/>
          </w:tcPr>
          <w:p w14:paraId="43902BF1" w14:textId="77777777"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387259">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387259">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387259">
        <w:tc>
          <w:tcPr>
            <w:tcW w:w="9628" w:type="dxa"/>
          </w:tcPr>
          <w:p w14:paraId="43902BF8" w14:textId="77777777" w:rsidR="00EE138B" w:rsidRDefault="00EE138B" w:rsidP="00387259">
            <w:pPr>
              <w:spacing w:after="0" w:line="240" w:lineRule="auto"/>
              <w:rPr>
                <w:b/>
                <w:u w:val="single"/>
              </w:rPr>
            </w:pPr>
            <w:r>
              <w:rPr>
                <w:b/>
                <w:u w:val="single"/>
              </w:rPr>
              <w:t>TP Alt.1</w:t>
            </w:r>
          </w:p>
          <w:p w14:paraId="43902BF9"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387259">
        <w:tc>
          <w:tcPr>
            <w:tcW w:w="9628" w:type="dxa"/>
          </w:tcPr>
          <w:p w14:paraId="43902BFC" w14:textId="77777777" w:rsidR="00EE138B" w:rsidRDefault="00EE138B" w:rsidP="00387259">
            <w:pPr>
              <w:spacing w:after="0" w:line="240" w:lineRule="auto"/>
              <w:rPr>
                <w:b/>
                <w:u w:val="single"/>
              </w:rPr>
            </w:pPr>
            <w:r>
              <w:rPr>
                <w:b/>
                <w:u w:val="single"/>
              </w:rPr>
              <w:t>TP Alt.2</w:t>
            </w:r>
          </w:p>
          <w:p w14:paraId="43902BFD"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A95349">
        <w:tc>
          <w:tcPr>
            <w:tcW w:w="1384" w:type="dxa"/>
            <w:shd w:val="clear" w:color="auto" w:fill="auto"/>
            <w:vAlign w:val="center"/>
          </w:tcPr>
          <w:p w14:paraId="4E9A7C20" w14:textId="77777777" w:rsidR="00524F96" w:rsidRDefault="00524F96" w:rsidP="00A95349">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1798C399" w14:textId="77777777" w:rsidR="00524F96" w:rsidRDefault="00524F96" w:rsidP="00A95349">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A95349">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A95349">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A95349">
            <w:pPr>
              <w:rPr>
                <w:lang w:val="en-GB" w:eastAsia="zh-CN"/>
              </w:rPr>
            </w:pPr>
            <w:r>
              <w:rPr>
                <w:noProof/>
                <w:lang w:eastAsia="zh-CN"/>
              </w:rPr>
              <w:t>Therefore, sorry to say we are not OK with the change.</w:t>
            </w:r>
          </w:p>
        </w:tc>
      </w:tr>
      <w:tr w:rsidR="00AC3FB8" w14:paraId="79E22849" w14:textId="77777777" w:rsidTr="00A95349">
        <w:tc>
          <w:tcPr>
            <w:tcW w:w="1384" w:type="dxa"/>
            <w:shd w:val="clear" w:color="auto" w:fill="auto"/>
            <w:vAlign w:val="center"/>
          </w:tcPr>
          <w:p w14:paraId="25DBC840" w14:textId="25863F2C" w:rsidR="00AC3FB8" w:rsidRDefault="00AC3FB8" w:rsidP="00A95349">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A95349">
            <w:pPr>
              <w:rPr>
                <w:noProof/>
                <w:lang w:eastAsia="zh-CN"/>
              </w:rPr>
            </w:pPr>
            <w:r>
              <w:rPr>
                <w:noProof/>
                <w:lang w:eastAsia="zh-CN"/>
              </w:rPr>
              <w:t>OK with Alt 1.</w:t>
            </w:r>
          </w:p>
        </w:tc>
      </w:tr>
      <w:tr w:rsidR="00322CEF" w14:paraId="7C8C7F1C" w14:textId="77777777" w:rsidTr="00A95349">
        <w:tc>
          <w:tcPr>
            <w:tcW w:w="1384" w:type="dxa"/>
            <w:shd w:val="clear" w:color="auto" w:fill="auto"/>
            <w:vAlign w:val="center"/>
          </w:tcPr>
          <w:p w14:paraId="033B1A31" w14:textId="7EB0AFAA" w:rsidR="00322CEF" w:rsidRDefault="00322CEF" w:rsidP="00A95349">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A95349">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A95349">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387259">
        <w:tc>
          <w:tcPr>
            <w:tcW w:w="1384" w:type="dxa"/>
            <w:shd w:val="clear" w:color="auto" w:fill="auto"/>
            <w:vAlign w:val="center"/>
          </w:tcPr>
          <w:p w14:paraId="43902C19" w14:textId="77777777"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387259">
            <w:pPr>
              <w:jc w:val="center"/>
              <w:rPr>
                <w:b/>
                <w:lang w:val="en-GB" w:eastAsia="zh-CN"/>
              </w:rPr>
            </w:pPr>
            <w:r>
              <w:rPr>
                <w:b/>
                <w:lang w:val="en-GB" w:eastAsia="zh-CN"/>
              </w:rPr>
              <w:t>C</w:t>
            </w:r>
            <w:r>
              <w:rPr>
                <w:rFonts w:hint="eastAsia"/>
                <w:b/>
                <w:lang w:val="en-GB" w:eastAsia="zh-CN"/>
              </w:rPr>
              <w:t>omments</w:t>
            </w:r>
          </w:p>
        </w:tc>
      </w:tr>
      <w:tr w:rsidR="00C16B76" w14:paraId="43902C1E" w14:textId="77777777" w:rsidTr="00387259">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387259">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A95349">
        <w:tc>
          <w:tcPr>
            <w:tcW w:w="1384" w:type="dxa"/>
            <w:shd w:val="clear" w:color="auto" w:fill="auto"/>
            <w:vAlign w:val="center"/>
          </w:tcPr>
          <w:p w14:paraId="3DFF0357" w14:textId="77777777" w:rsidR="00524F96" w:rsidRDefault="00524F96" w:rsidP="00A95349">
            <w:pPr>
              <w:rPr>
                <w:bCs/>
                <w:lang w:val="en-GB" w:eastAsia="zh-CN"/>
              </w:rPr>
            </w:pPr>
            <w:r>
              <w:rPr>
                <w:bCs/>
                <w:lang w:val="en-GB" w:eastAsia="zh-CN"/>
              </w:rPr>
              <w:lastRenderedPageBreak/>
              <w:t xml:space="preserve">Huawei, </w:t>
            </w:r>
            <w:proofErr w:type="spellStart"/>
            <w:r>
              <w:rPr>
                <w:bCs/>
                <w:lang w:val="en-GB" w:eastAsia="zh-CN"/>
              </w:rPr>
              <w:t>HiSilicon</w:t>
            </w:r>
            <w:proofErr w:type="spellEnd"/>
          </w:p>
        </w:tc>
        <w:tc>
          <w:tcPr>
            <w:tcW w:w="8505" w:type="dxa"/>
            <w:shd w:val="clear" w:color="auto" w:fill="auto"/>
            <w:vAlign w:val="center"/>
          </w:tcPr>
          <w:p w14:paraId="7B2FEED4" w14:textId="77777777" w:rsidR="00524F96" w:rsidRDefault="00524F96" w:rsidP="00A95349">
            <w:pPr>
              <w:rPr>
                <w:lang w:val="en-GB" w:eastAsia="zh-CN"/>
              </w:rPr>
            </w:pPr>
            <w:r>
              <w:rPr>
                <w:rFonts w:hint="eastAsia"/>
                <w:lang w:val="en-GB" w:eastAsia="zh-CN"/>
              </w:rPr>
              <w:t>O</w:t>
            </w:r>
            <w:r>
              <w:rPr>
                <w:lang w:val="en-GB" w:eastAsia="zh-CN"/>
              </w:rPr>
              <w:t>K</w:t>
            </w:r>
          </w:p>
        </w:tc>
      </w:tr>
      <w:tr w:rsidR="00C16B76" w14:paraId="43902C24" w14:textId="77777777" w:rsidTr="00387259">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387259">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2" w:author="Author">
              <w:r w:rsidRPr="00BF15F1" w:rsidDel="00BF15F1">
                <w:delText>carriers in</w:delText>
              </w:r>
            </w:del>
            <w:ins w:id="23" w:author="Author">
              <w:r>
                <w:t>two</w:t>
              </w:r>
            </w:ins>
            <w:r w:rsidRPr="00BF15F1">
              <w:t xml:space="preserve"> cell</w:t>
            </w:r>
            <w:ins w:id="24" w:author="Author">
              <w:r>
                <w:t>s</w:t>
              </w:r>
            </w:ins>
            <w:del w:id="25" w:author="Author">
              <w:r w:rsidRPr="00BF15F1" w:rsidDel="00BF15F1">
                <w:delText>(s)</w:delText>
              </w:r>
            </w:del>
            <w:r w:rsidRPr="00BF15F1">
              <w:t xml:space="preserve">, only the supported MIMO layer combination across </w:t>
            </w:r>
            <w:del w:id="26" w:author="Author">
              <w:r w:rsidRPr="00BF15F1" w:rsidDel="00BF15F1">
                <w:delText xml:space="preserve">carriers </w:delText>
              </w:r>
            </w:del>
            <w:ins w:id="27" w:author="Author">
              <w:r>
                <w:t>the two cells</w:t>
              </w:r>
              <w:r w:rsidRPr="00BF15F1">
                <w:t xml:space="preserve"> </w:t>
              </w:r>
            </w:ins>
            <w:r w:rsidRPr="00BF15F1">
              <w:t xml:space="preserve">that results in the highest combined data rate is counted for </w:t>
            </w:r>
            <w:del w:id="28" w:author="Author">
              <w:r w:rsidRPr="00BF15F1" w:rsidDel="00BF15F1">
                <w:delText xml:space="preserve">the </w:delText>
              </w:r>
            </w:del>
            <w:ins w:id="29" w:author="Author">
              <w:r>
                <w:t>those</w:t>
              </w:r>
              <w:r w:rsidRPr="00BF15F1">
                <w:t xml:space="preserve"> </w:t>
              </w:r>
            </w:ins>
            <w:r w:rsidRPr="00BF15F1">
              <w:t>cell</w:t>
            </w:r>
            <w:ins w:id="30" w:author="Author">
              <w:r>
                <w:t>s</w:t>
              </w:r>
            </w:ins>
            <w:del w:id="31"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387259">
        <w:tc>
          <w:tcPr>
            <w:tcW w:w="1384" w:type="dxa"/>
            <w:shd w:val="clear" w:color="auto" w:fill="auto"/>
            <w:vAlign w:val="center"/>
          </w:tcPr>
          <w:p w14:paraId="43902C30" w14:textId="77777777"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14:paraId="43902C35" w14:textId="77777777" w:rsidTr="00387259">
        <w:tc>
          <w:tcPr>
            <w:tcW w:w="1384" w:type="dxa"/>
            <w:shd w:val="clear" w:color="auto" w:fill="auto"/>
            <w:vAlign w:val="center"/>
          </w:tcPr>
          <w:p w14:paraId="43902C33" w14:textId="77777777" w:rsidR="00D32899" w:rsidRDefault="00CD4EE7" w:rsidP="00387259">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387259">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387259">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387259">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A95349">
        <w:tc>
          <w:tcPr>
            <w:tcW w:w="1384" w:type="dxa"/>
            <w:shd w:val="clear" w:color="auto" w:fill="auto"/>
            <w:vAlign w:val="center"/>
          </w:tcPr>
          <w:p w14:paraId="5E7BCE52" w14:textId="77777777" w:rsidR="00524F96" w:rsidRDefault="00524F96" w:rsidP="00A95349">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4EA714C0" w14:textId="77777777" w:rsidR="00524F96" w:rsidRPr="0021429D" w:rsidRDefault="00524F96" w:rsidP="00A95349">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A95349">
        <w:tc>
          <w:tcPr>
            <w:tcW w:w="1384" w:type="dxa"/>
            <w:shd w:val="clear" w:color="auto" w:fill="auto"/>
            <w:vAlign w:val="center"/>
          </w:tcPr>
          <w:p w14:paraId="730100C7" w14:textId="410B7C67" w:rsidR="00AC3FB8" w:rsidRDefault="00AC3FB8" w:rsidP="00A95349">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A95349">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A95349">
        <w:tc>
          <w:tcPr>
            <w:tcW w:w="1384" w:type="dxa"/>
            <w:shd w:val="clear" w:color="auto" w:fill="auto"/>
            <w:vAlign w:val="center"/>
          </w:tcPr>
          <w:p w14:paraId="612FB989" w14:textId="61016177" w:rsidR="00637B52" w:rsidRDefault="00637B52" w:rsidP="00A95349">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t>
            </w:r>
            <w:proofErr w:type="gramStart"/>
            <w:r>
              <w:rPr>
                <w:sz w:val="21"/>
                <w:szCs w:val="21"/>
              </w:rPr>
              <w:t>well, but</w:t>
            </w:r>
            <w:proofErr w:type="gramEnd"/>
            <w:r>
              <w:rPr>
                <w:sz w:val="21"/>
                <w:szCs w:val="21"/>
              </w:rPr>
              <w:t xml:space="preserve">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proofErr w:type="spellStart"/>
      <w:r w:rsidRPr="00580611">
        <w:rPr>
          <w:i/>
          <w:lang w:eastAsia="zh-CN"/>
        </w:rPr>
        <w:t>T</w:t>
      </w:r>
      <w:r w:rsidRPr="00580611">
        <w:rPr>
          <w:i/>
          <w:vertAlign w:val="subscript"/>
          <w:lang w:eastAsia="zh-CN"/>
        </w:rPr>
        <w:t>switch</w:t>
      </w:r>
      <w:proofErr w:type="spellEnd"/>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2" w:author="HUAWEI" w:date="2021-01-07T14:48:00Z">
              <w:r>
                <w:rPr>
                  <w:rFonts w:hint="eastAsia"/>
                  <w:lang w:val="x-none" w:eastAsia="zh-CN"/>
                </w:rPr>
                <w:t>.</w:t>
              </w:r>
              <w:r>
                <w:rPr>
                  <w:lang w:val="x-none" w:eastAsia="zh-CN"/>
                </w:rPr>
                <w:t xml:space="preserve"> </w:t>
              </w:r>
            </w:ins>
            <m:oMath>
              <m:sSub>
                <m:sSubPr>
                  <m:ctrlPr>
                    <w:ins w:id="33" w:author="HUAWEI" w:date="2021-01-07T14:48:00Z">
                      <w:rPr>
                        <w:rFonts w:ascii="Cambria Math" w:hAnsi="Cambria Math"/>
                        <w:i/>
                        <w:lang w:val="x-none"/>
                      </w:rPr>
                    </w:ins>
                  </m:ctrlPr>
                </m:sSubPr>
                <m:e>
                  <m:r>
                    <w:ins w:id="34" w:author="HUAWEI" w:date="2021-01-07T14:48:00Z">
                      <w:rPr>
                        <w:rFonts w:ascii="Cambria Math" w:hAnsi="Cambria Math"/>
                        <w:lang w:val="x-none"/>
                      </w:rPr>
                      <m:t>T</m:t>
                    </w:ins>
                  </m:r>
                </m:e>
                <m:sub>
                  <m:r>
                    <w:ins w:id="35" w:author="HUAWEI" w:date="2021-01-07T14:48:00Z">
                      <m:rPr>
                        <m:sty m:val="p"/>
                      </m:rPr>
                      <w:rPr>
                        <w:rFonts w:ascii="Cambria Math" w:hAnsi="Cambria Math"/>
                        <w:lang w:val="x-none"/>
                      </w:rPr>
                      <m:t>switch</m:t>
                    </w:ins>
                  </m:r>
                </m:sub>
              </m:sSub>
            </m:oMath>
            <w:ins w:id="36"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37" w:author="HUAWEI" w:date="2021-01-07T14:49:00Z">
                      <w:rPr>
                        <w:rFonts w:ascii="Cambria Math" w:hAnsi="Cambria Math"/>
                        <w:lang w:val="x-none" w:eastAsia="zh-CN"/>
                      </w:rPr>
                    </w:ins>
                  </m:ctrlPr>
                </m:sSubPr>
                <m:e>
                  <m:r>
                    <w:ins w:id="38" w:author="HUAWEI" w:date="2021-01-07T14:49:00Z">
                      <w:rPr>
                        <w:rFonts w:ascii="Cambria Math" w:hAnsi="Cambria Math"/>
                        <w:lang w:val="x-none" w:eastAsia="zh-CN"/>
                      </w:rPr>
                      <m:t>Z</m:t>
                    </w:ins>
                  </m:r>
                </m:e>
                <m:sub>
                  <m:r>
                    <w:ins w:id="39" w:author="HUAWEI" w:date="2021-01-07T14:49:00Z">
                      <w:rPr>
                        <w:rFonts w:ascii="Cambria Math" w:hAnsi="Cambria Math"/>
                        <w:lang w:val="x-none" w:eastAsia="zh-CN"/>
                      </w:rPr>
                      <m:t>1</m:t>
                    </w:ins>
                  </m:r>
                </m:sub>
              </m:sSub>
            </m:oMath>
            <w:ins w:id="40"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1" w:author="HUAWEI" w:date="2021-01-07T14:50:00Z">
                  <w:rPr>
                    <w:rFonts w:ascii="Cambria Math" w:hAnsi="Cambria Math"/>
                    <w:lang w:val="x-none"/>
                  </w:rPr>
                  <m:t>Z</m:t>
                </w:ins>
              </m:r>
            </m:oMath>
            <w:ins w:id="42"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3" w:author="HUAWEI" w:date="2021-01-07T14:46:00Z">
              <w:r>
                <w:t xml:space="preserve"> and</w:t>
              </w:r>
            </w:ins>
            <w:r w:rsidRPr="004E45B9">
              <w:t xml:space="preserve"> </w:t>
            </w:r>
            <m:oMath>
              <m:r>
                <w:rPr>
                  <w:rFonts w:ascii="Cambria Math" w:hAnsi="Cambria Math"/>
                  <w:lang w:val="x-none"/>
                </w:rPr>
                <m:t>Z</m:t>
              </m:r>
            </m:oMath>
            <w:r w:rsidRPr="004E45B9">
              <w:t xml:space="preserve"> </w:t>
            </w:r>
            <w:del w:id="44" w:author="HUAWEI" w:date="2021-01-07T14:46:00Z">
              <w:r w:rsidRPr="004E45B9" w:rsidDel="004E45B9">
                <w:rPr>
                  <w:lang w:val="x-none"/>
                </w:rPr>
                <w:delText xml:space="preserve">and </w:delText>
              </w:r>
            </w:del>
            <m:oMath>
              <m:sSub>
                <m:sSubPr>
                  <m:ctrlPr>
                    <w:del w:id="45" w:author="HUAWEI" w:date="2021-01-07T14:46:00Z">
                      <w:rPr>
                        <w:rFonts w:ascii="Cambria Math" w:hAnsi="Cambria Math"/>
                        <w:lang w:val="x-none"/>
                      </w:rPr>
                    </w:del>
                  </m:ctrlPr>
                </m:sSubPr>
                <m:e>
                  <m:r>
                    <w:del w:id="46" w:author="HUAWEI" w:date="2021-01-07T14:46:00Z">
                      <w:rPr>
                        <w:rFonts w:ascii="Cambria Math" w:hAnsi="Cambria Math"/>
                        <w:lang w:val="x-none"/>
                      </w:rPr>
                      <m:t>T</m:t>
                    </w:del>
                  </m:r>
                </m:e>
                <m:sub>
                  <m:r>
                    <w:del w:id="47" w:author="HUAWEI" w:date="2021-01-07T14:46:00Z">
                      <m:rPr>
                        <m:sty m:val="p"/>
                      </m:rPr>
                      <w:rPr>
                        <w:rFonts w:ascii="Cambria Math" w:hAnsi="Cambria Math"/>
                        <w:lang w:val="x-none"/>
                      </w:rPr>
                      <m:t>switch</m:t>
                    </w:del>
                  </m:r>
                </m:sub>
              </m:sSub>
              <m:r>
                <w:del w:id="48"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49" w:author="HUAWEI" w:date="2021-01-07T14:47:00Z">
                      <w:rPr>
                        <w:rFonts w:ascii="Cambria Math" w:hAnsi="Cambria Math"/>
                        <w:lang w:val="x-none"/>
                      </w:rPr>
                    </w:del>
                  </m:ctrlPr>
                </m:sSubPr>
                <m:e>
                  <m:r>
                    <w:del w:id="50" w:author="HUAWEI" w:date="2021-01-07T14:47:00Z">
                      <w:rPr>
                        <w:rFonts w:ascii="Cambria Math" w:hAnsi="Cambria Math"/>
                        <w:lang w:val="x-none"/>
                      </w:rPr>
                      <m:t>T</m:t>
                    </w:del>
                  </m:r>
                </m:e>
                <m:sub>
                  <m:r>
                    <w:del w:id="51" w:author="HUAWEI" w:date="2021-01-07T14:47:00Z">
                      <m:rPr>
                        <m:sty m:val="p"/>
                      </m:rPr>
                      <w:rPr>
                        <w:rFonts w:ascii="Cambria Math" w:hAnsi="Cambria Math"/>
                        <w:lang w:val="x-none"/>
                      </w:rPr>
                      <m:t>switch</m:t>
                    </w:del>
                  </m:r>
                </m:sub>
              </m:sSub>
            </m:oMath>
            <w:del w:id="52"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53" w:author="HUAWEI" w:date="2021-01-07T14:47:00Z">
                      <w:rPr>
                        <w:rFonts w:ascii="Cambria Math" w:hAnsi="Cambria Math"/>
                        <w:lang w:val="x-none"/>
                      </w:rPr>
                    </w:del>
                  </m:ctrlPr>
                </m:sSubPr>
                <m:e>
                  <m:r>
                    <w:del w:id="54" w:author="HUAWEI" w:date="2021-01-07T14:47:00Z">
                      <w:rPr>
                        <w:rFonts w:ascii="Cambria Math" w:hAnsi="Cambria Math"/>
                        <w:lang w:val="x-none"/>
                      </w:rPr>
                      <m:t>Z</m:t>
                    </w:del>
                  </m:r>
                </m:e>
                <m:sub>
                  <m:r>
                    <w:del w:id="55" w:author="HUAWEI" w:date="2021-01-07T14:47:00Z">
                      <m:rPr>
                        <m:sty m:val="p"/>
                      </m:rPr>
                      <w:rPr>
                        <w:rFonts w:ascii="Cambria Math" w:hAnsi="Cambria Math"/>
                        <w:lang w:val="x-none"/>
                      </w:rPr>
                      <m:t>1</m:t>
                    </w:del>
                  </m:r>
                </m:sub>
              </m:sSub>
            </m:oMath>
            <w:del w:id="56"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57" w:author="HUAWEI" w:date="2021-01-07T14:47:00Z">
                  <w:rPr>
                    <w:rFonts w:ascii="Cambria Math" w:hAnsi="Cambria Math"/>
                    <w:lang w:val="x-none"/>
                  </w:rPr>
                  <m:t>Z</m:t>
                </w:del>
              </m:r>
              <m:r>
                <w:del w:id="58" w:author="HUAWEI" w:date="2021-01-07T14:47:00Z">
                  <m:rPr>
                    <m:sty m:val="p"/>
                  </m:rPr>
                  <w:rPr>
                    <w:rFonts w:ascii="Cambria Math" w:hAnsi="Cambria Math" w:hint="eastAsia"/>
                    <w:lang w:val="x-none"/>
                  </w:rPr>
                  <m:t>,</m:t>
                </w:del>
              </m:r>
            </m:oMath>
            <w:del w:id="59"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387259">
        <w:tc>
          <w:tcPr>
            <w:tcW w:w="1384" w:type="dxa"/>
            <w:shd w:val="clear" w:color="auto" w:fill="auto"/>
            <w:vAlign w:val="center"/>
          </w:tcPr>
          <w:p w14:paraId="43902C4A" w14:textId="77777777"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387259">
            <w:pPr>
              <w:jc w:val="center"/>
              <w:rPr>
                <w:b/>
                <w:lang w:val="en-GB" w:eastAsia="zh-CN"/>
              </w:rPr>
            </w:pPr>
            <w:r>
              <w:rPr>
                <w:b/>
                <w:lang w:val="en-GB" w:eastAsia="zh-CN"/>
              </w:rPr>
              <w:t>C</w:t>
            </w:r>
            <w:r>
              <w:rPr>
                <w:rFonts w:hint="eastAsia"/>
                <w:b/>
                <w:lang w:val="en-GB" w:eastAsia="zh-CN"/>
              </w:rPr>
              <w:t>omments</w:t>
            </w:r>
          </w:p>
        </w:tc>
      </w:tr>
      <w:tr w:rsidR="00F04B68" w14:paraId="43902C4F" w14:textId="77777777" w:rsidTr="00387259">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387259">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A95349">
        <w:tc>
          <w:tcPr>
            <w:tcW w:w="1384" w:type="dxa"/>
            <w:shd w:val="clear" w:color="auto" w:fill="auto"/>
            <w:vAlign w:val="center"/>
          </w:tcPr>
          <w:p w14:paraId="28925114" w14:textId="77777777" w:rsidR="00524F96" w:rsidRDefault="00524F96" w:rsidP="00A95349">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505" w:type="dxa"/>
            <w:shd w:val="clear" w:color="auto" w:fill="auto"/>
            <w:vAlign w:val="center"/>
          </w:tcPr>
          <w:p w14:paraId="103D4117" w14:textId="77777777" w:rsidR="00524F96" w:rsidRDefault="00524F96" w:rsidP="00A95349">
            <w:pPr>
              <w:rPr>
                <w:lang w:val="en-GB" w:eastAsia="zh-CN"/>
              </w:rPr>
            </w:pPr>
            <w:r>
              <w:rPr>
                <w:rFonts w:hint="eastAsia"/>
                <w:lang w:val="en-GB" w:eastAsia="zh-CN"/>
              </w:rPr>
              <w:t>Su</w:t>
            </w:r>
            <w:r>
              <w:rPr>
                <w:lang w:val="en-GB" w:eastAsia="zh-CN"/>
              </w:rPr>
              <w:t>pport</w:t>
            </w:r>
          </w:p>
        </w:tc>
      </w:tr>
      <w:tr w:rsidR="00F04B68" w14:paraId="43902C55" w14:textId="77777777" w:rsidTr="00387259">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387259">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387259">
        <w:tc>
          <w:tcPr>
            <w:tcW w:w="1384" w:type="dxa"/>
            <w:shd w:val="clear" w:color="auto" w:fill="auto"/>
            <w:vAlign w:val="center"/>
          </w:tcPr>
          <w:p w14:paraId="43902C5C" w14:textId="77777777"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14:paraId="43902C61" w14:textId="77777777" w:rsidTr="00387259">
        <w:tc>
          <w:tcPr>
            <w:tcW w:w="1384" w:type="dxa"/>
            <w:shd w:val="clear" w:color="auto" w:fill="auto"/>
            <w:vAlign w:val="center"/>
          </w:tcPr>
          <w:p w14:paraId="43902C5F" w14:textId="77777777" w:rsidR="00E07744" w:rsidRDefault="00CD4EE7" w:rsidP="00387259">
            <w:pPr>
              <w:rPr>
                <w:bCs/>
                <w:lang w:val="en-GB" w:eastAsia="zh-CN"/>
              </w:rPr>
            </w:pPr>
            <w:r>
              <w:rPr>
                <w:rFonts w:hint="eastAsia"/>
                <w:bCs/>
                <w:lang w:val="en-GB" w:eastAsia="zh-CN"/>
              </w:rPr>
              <w:t>CATT</w:t>
            </w:r>
          </w:p>
        </w:tc>
        <w:tc>
          <w:tcPr>
            <w:tcW w:w="8505" w:type="dxa"/>
            <w:shd w:val="clear" w:color="auto" w:fill="auto"/>
            <w:vAlign w:val="center"/>
          </w:tcPr>
          <w:p w14:paraId="43902C60" w14:textId="77777777" w:rsidR="00E07744" w:rsidRDefault="008317D0" w:rsidP="00387259">
            <w:pPr>
              <w:rPr>
                <w:lang w:val="en-GB" w:eastAsia="zh-CN"/>
              </w:rPr>
            </w:pPr>
            <w:r>
              <w:rPr>
                <w:rFonts w:hint="eastAsia"/>
                <w:lang w:val="en-GB" w:eastAsia="zh-CN"/>
              </w:rPr>
              <w:t>Ok with the proposal.</w:t>
            </w:r>
          </w:p>
        </w:tc>
      </w:tr>
      <w:tr w:rsidR="006E258B" w14:paraId="43902C64" w14:textId="77777777" w:rsidTr="00387259">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387259">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A95349">
        <w:tc>
          <w:tcPr>
            <w:tcW w:w="1384" w:type="dxa"/>
            <w:shd w:val="clear" w:color="auto" w:fill="auto"/>
            <w:vAlign w:val="center"/>
          </w:tcPr>
          <w:p w14:paraId="3704A1A4" w14:textId="77777777" w:rsidR="00524F96" w:rsidRDefault="00524F96" w:rsidP="00A95349">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505" w:type="dxa"/>
            <w:shd w:val="clear" w:color="auto" w:fill="auto"/>
            <w:vAlign w:val="center"/>
          </w:tcPr>
          <w:p w14:paraId="47B9D3DD" w14:textId="77777777" w:rsidR="00524F96" w:rsidRDefault="00524F96" w:rsidP="00A95349">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A95349">
            <w:pPr>
              <w:rPr>
                <w:lang w:val="en-GB" w:eastAsia="zh-CN"/>
              </w:rPr>
            </w:pPr>
            <w:r>
              <w:rPr>
                <w:lang w:val="en-GB" w:eastAsia="zh-CN"/>
              </w:rPr>
              <w:t xml:space="preserve">Secondly, it is unclear why the proposal is needed and what spec impact could be. Because in all cases of 1T2R, 2T4R and 1T4R, the same number of SRS ports are configured in one SRS resource set. When </w:t>
            </w:r>
            <w:proofErr w:type="gramStart"/>
            <w:r>
              <w:rPr>
                <w:lang w:val="en-GB" w:eastAsia="zh-CN"/>
              </w:rPr>
              <w:t>a</w:t>
            </w:r>
            <w:proofErr w:type="gramEnd"/>
            <w:r>
              <w:rPr>
                <w:lang w:val="en-GB" w:eastAsia="zh-CN"/>
              </w:rPr>
              <w:t xml:space="preserve"> SRS resource set is triggered, the same number of SRS ports have been required for transmission. Therefore, what kind of spec impact is being expected?</w:t>
            </w:r>
          </w:p>
        </w:tc>
      </w:tr>
      <w:tr w:rsidR="006F51B5" w14:paraId="29E04F17" w14:textId="77777777" w:rsidTr="00A95349">
        <w:tc>
          <w:tcPr>
            <w:tcW w:w="1384" w:type="dxa"/>
            <w:shd w:val="clear" w:color="auto" w:fill="auto"/>
            <w:vAlign w:val="center"/>
          </w:tcPr>
          <w:p w14:paraId="45BE9E83" w14:textId="7F05CEEF" w:rsidR="006F51B5" w:rsidRDefault="006F51B5" w:rsidP="00A95349">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A95349">
        <w:tc>
          <w:tcPr>
            <w:tcW w:w="1384" w:type="dxa"/>
            <w:shd w:val="clear" w:color="auto" w:fill="auto"/>
            <w:vAlign w:val="center"/>
          </w:tcPr>
          <w:p w14:paraId="16771C4E" w14:textId="3AFA67D5" w:rsidR="00DF687A" w:rsidRDefault="00DF687A" w:rsidP="00DF687A">
            <w:pPr>
              <w:rPr>
                <w:rFonts w:hint="eastAsia"/>
                <w:bCs/>
                <w:lang w:val="en-GB" w:eastAsia="zh-CN"/>
              </w:rPr>
            </w:pPr>
            <w:r>
              <w:rPr>
                <w:rFonts w:hint="eastAsia"/>
                <w:bCs/>
                <w:lang w:val="en-GB" w:eastAsia="zh-CN"/>
              </w:rPr>
              <w:t>QC2</w:t>
            </w:r>
          </w:p>
        </w:tc>
        <w:tc>
          <w:tcPr>
            <w:tcW w:w="8505"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w:t>
            </w:r>
            <w:proofErr w:type="gramStart"/>
            <w:r>
              <w:t>in order to</w:t>
            </w:r>
            <w:proofErr w:type="gramEnd"/>
            <w:r>
              <w:t xml:space="preserve">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DF687A" w:rsidRDefault="00DF687A" w:rsidP="005032A9">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DF687A" w:rsidRDefault="00DF687A" w:rsidP="0026142E">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DF687A" w:rsidRDefault="00DF687A" w:rsidP="0026142E">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DF687A" w:rsidRDefault="00DF687A" w:rsidP="005032A9">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DF687A" w:rsidRPr="00935C18" w:rsidRDefault="00DF687A" w:rsidP="00C42007">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DF687A" w:rsidRPr="00033235" w:rsidRDefault="00DF687A" w:rsidP="00935C18">
                                    <w:pPr>
                                      <w:jc w:val="center"/>
                                      <w:rPr>
                                        <w:sz w:val="24"/>
                                        <w:szCs w:val="24"/>
                                      </w:rPr>
                                    </w:pPr>
                                    <w:r w:rsidRPr="00033235">
                                      <w:rPr>
                                        <w:rFonts w:cs="SimSun"/>
                                        <w:sz w:val="12"/>
                                        <w:szCs w:val="12"/>
                                      </w:rPr>
                                      <w:t>CC1</w:t>
                                    </w:r>
                                    <w:r>
                                      <w:rPr>
                                        <w:rFonts w:cs="SimSun"/>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DF687A" w:rsidRDefault="00DF687A" w:rsidP="00FA59AC">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DF687A" w:rsidRDefault="00DF687A" w:rsidP="0026142E">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DF687A" w:rsidRPr="00577007" w:rsidRDefault="00DF687A" w:rsidP="00577007">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DF687A" w:rsidRDefault="00DF687A" w:rsidP="005032A9">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DF687A" w:rsidRDefault="00DF687A" w:rsidP="0026142E">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DF687A" w:rsidRDefault="00DF687A" w:rsidP="0026142E">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DF687A" w:rsidRDefault="00DF687A" w:rsidP="005032A9">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DF687A" w:rsidRPr="00935C18" w:rsidRDefault="00DF687A" w:rsidP="00C42007">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DF687A" w:rsidRPr="00033235" w:rsidRDefault="00DF687A" w:rsidP="00935C18">
                              <w:pPr>
                                <w:jc w:val="center"/>
                                <w:rPr>
                                  <w:sz w:val="24"/>
                                  <w:szCs w:val="24"/>
                                </w:rPr>
                              </w:pPr>
                              <w:r w:rsidRPr="00033235">
                                <w:rPr>
                                  <w:rFonts w:cs="SimSun"/>
                                  <w:sz w:val="12"/>
                                  <w:szCs w:val="12"/>
                                </w:rPr>
                                <w:t>CC1</w:t>
                              </w:r>
                              <w:r>
                                <w:rPr>
                                  <w:rFonts w:cs="SimSun"/>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DF687A" w:rsidRDefault="00DF687A" w:rsidP="00FA59AC">
                              <w:pPr>
                                <w:jc w:val="center"/>
                                <w:rPr>
                                  <w:sz w:val="24"/>
                                  <w:szCs w:val="24"/>
                                </w:rPr>
                              </w:pPr>
                              <w:r>
                                <w:rPr>
                                  <w:rFonts w:cs="SimSun"/>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DF687A" w:rsidRDefault="00DF687A" w:rsidP="0026142E">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DF687A" w:rsidRPr="00577007" w:rsidRDefault="00DF687A" w:rsidP="00577007">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 xml:space="preserve">For Rel-16 inter-band UL CA, </w:t>
      </w:r>
      <w:proofErr w:type="gramStart"/>
      <w:r w:rsidRPr="009B5E1F">
        <w:rPr>
          <w:sz w:val="21"/>
          <w:szCs w:val="21"/>
          <w:lang w:eastAsia="zh-CN"/>
        </w:rPr>
        <w:t>SUL</w:t>
      </w:r>
      <w:proofErr w:type="gramEnd"/>
      <w:r w:rsidRPr="009B5E1F">
        <w:rPr>
          <w:sz w:val="21"/>
          <w:szCs w:val="21"/>
          <w:lang w:eastAsia="zh-CN"/>
        </w:rPr>
        <w:t xml:space="preserve">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 xml:space="preserve">o spec </w:t>
      </w:r>
      <w:proofErr w:type="gramStart"/>
      <w:r>
        <w:rPr>
          <w:sz w:val="21"/>
          <w:szCs w:val="21"/>
          <w:lang w:eastAsia="zh-CN"/>
        </w:rPr>
        <w:t>impact</w:t>
      </w:r>
      <w:proofErr w:type="gramEnd"/>
      <w:r>
        <w:rPr>
          <w:sz w:val="21"/>
          <w:szCs w:val="21"/>
          <w:lang w:eastAsia="zh-CN"/>
        </w:rPr>
        <w: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1F7084">
        <w:tc>
          <w:tcPr>
            <w:tcW w:w="1384" w:type="dxa"/>
            <w:shd w:val="clear" w:color="auto" w:fill="auto"/>
            <w:vAlign w:val="center"/>
          </w:tcPr>
          <w:p w14:paraId="43902C6F" w14:textId="77777777"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14:paraId="43902C74" w14:textId="77777777" w:rsidTr="001F7084">
        <w:tc>
          <w:tcPr>
            <w:tcW w:w="1384" w:type="dxa"/>
            <w:shd w:val="clear" w:color="auto" w:fill="auto"/>
            <w:vAlign w:val="center"/>
          </w:tcPr>
          <w:p w14:paraId="43902C72" w14:textId="77777777" w:rsidR="00D91550" w:rsidRDefault="008317D0" w:rsidP="001F7084">
            <w:pPr>
              <w:rPr>
                <w:bCs/>
                <w:lang w:val="en-GB" w:eastAsia="zh-CN"/>
              </w:rPr>
            </w:pPr>
            <w:r>
              <w:rPr>
                <w:rFonts w:hint="eastAsia"/>
                <w:bCs/>
                <w:lang w:val="en-GB" w:eastAsia="zh-CN"/>
              </w:rPr>
              <w:lastRenderedPageBreak/>
              <w:t>CATT</w:t>
            </w:r>
          </w:p>
        </w:tc>
        <w:tc>
          <w:tcPr>
            <w:tcW w:w="8505" w:type="dxa"/>
            <w:shd w:val="clear" w:color="auto" w:fill="auto"/>
            <w:vAlign w:val="center"/>
          </w:tcPr>
          <w:p w14:paraId="43902C73" w14:textId="77777777" w:rsidR="00D91550" w:rsidRDefault="008317D0" w:rsidP="001F7084">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1F7084">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1F7084">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A95349">
        <w:tc>
          <w:tcPr>
            <w:tcW w:w="1384" w:type="dxa"/>
            <w:shd w:val="clear" w:color="auto" w:fill="auto"/>
            <w:vAlign w:val="center"/>
          </w:tcPr>
          <w:p w14:paraId="424B95E5" w14:textId="77777777" w:rsidR="00524F96" w:rsidRDefault="00524F96" w:rsidP="00A95349">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2BA9F23F" w14:textId="77777777" w:rsidR="00185E51" w:rsidRDefault="00185E51" w:rsidP="00A95349">
            <w:pPr>
              <w:rPr>
                <w:lang w:val="en-GB" w:eastAsia="zh-CN"/>
              </w:rPr>
            </w:pPr>
            <w:r>
              <w:rPr>
                <w:lang w:val="en-GB" w:eastAsia="zh-CN"/>
              </w:rPr>
              <w:t>Thank you for the proposal.</w:t>
            </w:r>
          </w:p>
          <w:p w14:paraId="68C23ADF" w14:textId="31BF1927" w:rsidR="00524F96" w:rsidRDefault="00524F96" w:rsidP="00A95349">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A95349">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A95349">
        <w:tc>
          <w:tcPr>
            <w:tcW w:w="1384"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A95349">
        <w:tc>
          <w:tcPr>
            <w:tcW w:w="1384" w:type="dxa"/>
            <w:shd w:val="clear" w:color="auto" w:fill="auto"/>
            <w:vAlign w:val="center"/>
          </w:tcPr>
          <w:p w14:paraId="013FD62D" w14:textId="5661059A" w:rsidR="00565008" w:rsidRDefault="00565008" w:rsidP="00565008">
            <w:pPr>
              <w:rPr>
                <w:rFonts w:hint="eastAsia"/>
                <w:bCs/>
                <w:lang w:val="en-GB" w:eastAsia="zh-CN"/>
              </w:rPr>
            </w:pPr>
            <w:r>
              <w:rPr>
                <w:bCs/>
                <w:lang w:val="en-GB" w:eastAsia="zh-CN"/>
              </w:rPr>
              <w:t>QC</w:t>
            </w:r>
          </w:p>
        </w:tc>
        <w:tc>
          <w:tcPr>
            <w:tcW w:w="8505" w:type="dxa"/>
            <w:shd w:val="clear" w:color="auto" w:fill="auto"/>
            <w:vAlign w:val="center"/>
          </w:tcPr>
          <w:p w14:paraId="0CEC75B8" w14:textId="77777777" w:rsidR="00565008" w:rsidRDefault="00565008" w:rsidP="00565008">
            <w:r>
              <w:t xml:space="preserve">This is the second meeting that we are submitting proposed solutions for the simultaneous operation of UL Tx switching and SRS carrier switching. It seems that there is little interest to address these proposals. Therefore, it is time to conclude whether the feature of SRS Carrier </w:t>
            </w:r>
            <w:proofErr w:type="gramStart"/>
            <w:r>
              <w:t>switching</w:t>
            </w:r>
            <w:proofErr w:type="gramEnd"/>
            <w:r>
              <w:t xml:space="preserve">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SimSun" w:hAnsi="Times New Roman"/>
                <w:sz w:val="20"/>
                <w:szCs w:val="20"/>
                <w:lang w:val="en-US"/>
              </w:rPr>
            </w:pPr>
            <w:r w:rsidRPr="0082645E">
              <w:rPr>
                <w:rFonts w:ascii="Times New Roman" w:eastAsia="SimSun"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565008" w:rsidRDefault="00565008" w:rsidP="00BA03BC">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565008" w:rsidRDefault="00565008" w:rsidP="00406C2C">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565008" w:rsidRDefault="00565008" w:rsidP="00406C2C">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565008" w:rsidRPr="00935C18" w:rsidRDefault="00565008" w:rsidP="00B74C8C">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565008" w:rsidRDefault="00565008" w:rsidP="00406C2C">
                                    <w:pPr>
                                      <w:jc w:val="center"/>
                                      <w:rPr>
                                        <w:rFonts w:cs="SimSun"/>
                                        <w:sz w:val="12"/>
                                        <w:szCs w:val="12"/>
                                      </w:rPr>
                                    </w:pPr>
                                    <w:r w:rsidRPr="00033235">
                                      <w:rPr>
                                        <w:rFonts w:cs="SimSun"/>
                                        <w:sz w:val="12"/>
                                        <w:szCs w:val="12"/>
                                      </w:rPr>
                                      <w:t>CC1</w:t>
                                    </w:r>
                                  </w:p>
                                  <w:p w14:paraId="2E153438" w14:textId="77777777" w:rsidR="00565008" w:rsidRPr="00406C2C" w:rsidRDefault="00565008" w:rsidP="00406C2C">
                                    <w:pPr>
                                      <w:jc w:val="center"/>
                                      <w:rPr>
                                        <w:rFonts w:cs="SimSun"/>
                                        <w:sz w:val="12"/>
                                        <w:szCs w:val="12"/>
                                      </w:rPr>
                                    </w:pPr>
                                    <w:r>
                                      <w:rPr>
                                        <w:rFonts w:cs="SimSun"/>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565008" w:rsidRDefault="00565008" w:rsidP="00B74C8C">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565008" w:rsidRDefault="00565008" w:rsidP="00913B0E">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565008" w:rsidRDefault="00565008" w:rsidP="00B74C8C">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565008" w:rsidRDefault="00565008" w:rsidP="00913B0E">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565008" w:rsidRDefault="00565008" w:rsidP="00B74C8C">
                                    <w:pPr>
                                      <w:jc w:val="center"/>
                                      <w:rPr>
                                        <w:sz w:val="24"/>
                                        <w:szCs w:val="24"/>
                                      </w:rPr>
                                    </w:pPr>
                                    <w:r>
                                      <w:rPr>
                                        <w:rFonts w:cs="SimSun"/>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565008" w:rsidRDefault="00565008" w:rsidP="005A6095">
                                    <w:pPr>
                                      <w:jc w:val="center"/>
                                      <w:rPr>
                                        <w:sz w:val="24"/>
                                        <w:szCs w:val="24"/>
                                      </w:rPr>
                                    </w:pPr>
                                    <w:r>
                                      <w:rPr>
                                        <w:rFonts w:cs="SimSun"/>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565008" w:rsidRDefault="00565008" w:rsidP="00BA03BC">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565008" w:rsidRPr="008C568B" w:rsidRDefault="00565008" w:rsidP="008C568B">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565008" w:rsidRDefault="00565008" w:rsidP="00BA03BC">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565008" w:rsidRDefault="00565008" w:rsidP="00406C2C">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565008" w:rsidRDefault="00565008" w:rsidP="00406C2C">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565008" w:rsidRPr="00935C18" w:rsidRDefault="00565008" w:rsidP="00B74C8C">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565008" w:rsidRDefault="00565008" w:rsidP="00406C2C">
                              <w:pPr>
                                <w:jc w:val="center"/>
                                <w:rPr>
                                  <w:rFonts w:cs="SimSun"/>
                                  <w:sz w:val="12"/>
                                  <w:szCs w:val="12"/>
                                </w:rPr>
                              </w:pPr>
                              <w:r w:rsidRPr="00033235">
                                <w:rPr>
                                  <w:rFonts w:cs="SimSun"/>
                                  <w:sz w:val="12"/>
                                  <w:szCs w:val="12"/>
                                </w:rPr>
                                <w:t>CC1</w:t>
                              </w:r>
                            </w:p>
                            <w:p w14:paraId="2E153438" w14:textId="77777777" w:rsidR="00565008" w:rsidRPr="00406C2C" w:rsidRDefault="00565008" w:rsidP="00406C2C">
                              <w:pPr>
                                <w:jc w:val="center"/>
                                <w:rPr>
                                  <w:rFonts w:cs="SimSun"/>
                                  <w:sz w:val="12"/>
                                  <w:szCs w:val="12"/>
                                </w:rPr>
                              </w:pPr>
                              <w:r>
                                <w:rPr>
                                  <w:rFonts w:cs="SimSun"/>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565008" w:rsidRDefault="00565008" w:rsidP="00B74C8C">
                              <w:pPr>
                                <w:jc w:val="center"/>
                                <w:rPr>
                                  <w:sz w:val="24"/>
                                  <w:szCs w:val="24"/>
                                </w:rPr>
                              </w:pPr>
                              <w:r>
                                <w:rPr>
                                  <w:rFonts w:cs="SimSun"/>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565008" w:rsidRDefault="00565008" w:rsidP="00913B0E">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565008" w:rsidRDefault="00565008" w:rsidP="00B74C8C">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565008" w:rsidRDefault="00565008" w:rsidP="00913B0E">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565008" w:rsidRDefault="00565008" w:rsidP="00B74C8C">
                              <w:pPr>
                                <w:jc w:val="center"/>
                                <w:rPr>
                                  <w:sz w:val="24"/>
                                  <w:szCs w:val="24"/>
                                </w:rPr>
                              </w:pPr>
                              <w:r>
                                <w:rPr>
                                  <w:rFonts w:cs="SimSun"/>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565008" w:rsidRDefault="00565008" w:rsidP="005A6095">
                              <w:pPr>
                                <w:jc w:val="center"/>
                                <w:rPr>
                                  <w:sz w:val="24"/>
                                  <w:szCs w:val="24"/>
                                </w:rPr>
                              </w:pPr>
                              <w:r>
                                <w:rPr>
                                  <w:rFonts w:cs="SimSun"/>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565008" w:rsidRDefault="00565008" w:rsidP="00BA03BC">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565008" w:rsidRPr="008C568B" w:rsidRDefault="00565008" w:rsidP="008C568B">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v:textbox>
                      </v:rect>
                      <w10:anchorlock/>
                    </v:group>
                  </w:pict>
                </mc:Fallback>
              </mc:AlternateContent>
            </w:r>
          </w:p>
        </w:tc>
      </w:tr>
    </w:tbl>
    <w:p w14:paraId="43902C7B" w14:textId="77777777" w:rsidR="00D91550" w:rsidRDefault="00D91550"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60"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60"/>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 xml:space="preserve">Huawei, </w:t>
      </w:r>
      <w:proofErr w:type="spellStart"/>
      <w:r w:rsidRPr="006E68A1">
        <w:rPr>
          <w:sz w:val="21"/>
          <w:szCs w:val="21"/>
          <w:lang w:eastAsia="zh-CN"/>
        </w:rPr>
        <w:t>HiSilicon</w:t>
      </w:r>
      <w:proofErr w:type="spellEnd"/>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387259">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61" w:author="ZTE" w:date="2021-01-12T16:01:00Z">
                    <w:r w:rsidRPr="00B852FC">
                      <w:rPr>
                        <w:sz w:val="20"/>
                        <w:szCs w:val="20"/>
                      </w:rPr>
                      <w:t xml:space="preserve">active UL BWP of one </w:t>
                    </w:r>
                  </w:ins>
                  <w:r w:rsidRPr="00B852FC">
                    <w:rPr>
                      <w:sz w:val="20"/>
                      <w:szCs w:val="20"/>
                    </w:rPr>
                    <w:t xml:space="preserve">uplink </w:t>
                  </w:r>
                  <w:ins w:id="62" w:author="ZTE" w:date="2021-01-12T16:01:00Z">
                    <w:r w:rsidRPr="00B852FC">
                      <w:rPr>
                        <w:sz w:val="20"/>
                        <w:szCs w:val="20"/>
                      </w:rPr>
                      <w:t>carrier</w:t>
                    </w:r>
                  </w:ins>
                  <w:del w:id="63"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64" w:author="ZTE" w:date="2021-01-12T16:01:00Z">
                    <w:r w:rsidRPr="00B852FC">
                      <w:rPr>
                        <w:sz w:val="20"/>
                        <w:szCs w:val="20"/>
                      </w:rPr>
                      <w:t xml:space="preserve">active UL BWP of the other </w:t>
                    </w:r>
                  </w:ins>
                  <w:r w:rsidRPr="00B852FC">
                    <w:rPr>
                      <w:sz w:val="20"/>
                      <w:szCs w:val="20"/>
                    </w:rPr>
                    <w:t xml:space="preserve">uplink </w:t>
                  </w:r>
                  <w:ins w:id="65" w:author="ZTE" w:date="2021-01-12T16:01:00Z">
                    <w:r w:rsidRPr="00B852FC">
                      <w:rPr>
                        <w:sz w:val="20"/>
                        <w:szCs w:val="20"/>
                      </w:rPr>
                      <w:t>carrier</w:t>
                    </w:r>
                  </w:ins>
                  <w:del w:id="66"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387259">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67" w:author="ZTE" w:date="2021-01-12T16:08:00Z">
                    <w:r w:rsidRPr="00B852FC">
                      <w:rPr>
                        <w:sz w:val="20"/>
                        <w:szCs w:val="20"/>
                      </w:rPr>
                      <w:t xml:space="preserve">active UL BWP of one </w:t>
                    </w:r>
                  </w:ins>
                  <w:r w:rsidRPr="00B852FC">
                    <w:rPr>
                      <w:sz w:val="20"/>
                      <w:szCs w:val="20"/>
                    </w:rPr>
                    <w:t xml:space="preserve">uplink </w:t>
                  </w:r>
                  <w:ins w:id="68" w:author="ZTE" w:date="2021-01-12T16:08:00Z">
                    <w:r w:rsidRPr="00B852FC">
                      <w:rPr>
                        <w:sz w:val="20"/>
                        <w:szCs w:val="20"/>
                      </w:rPr>
                      <w:t>carrier</w:t>
                    </w:r>
                  </w:ins>
                  <w:ins w:id="69" w:author="ZTE" w:date="2021-01-12T16:09:00Z">
                    <w:r w:rsidRPr="00B852FC">
                      <w:rPr>
                        <w:sz w:val="20"/>
                        <w:szCs w:val="20"/>
                      </w:rPr>
                      <w:t xml:space="preserve"> after </w:t>
                    </w:r>
                  </w:ins>
                  <w:del w:id="70" w:author="ZTE" w:date="2021-01-12T16:08:00Z">
                    <w:r w:rsidRPr="00B852FC" w:rsidDel="00921DEC">
                      <w:rPr>
                        <w:sz w:val="20"/>
                        <w:szCs w:val="20"/>
                      </w:rPr>
                      <w:delText xml:space="preserve">transmitted </w:delText>
                    </w:r>
                  </w:del>
                  <w:del w:id="71"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72" w:author="ZTE" w:date="2021-01-12T16:09:00Z">
                    <w:r w:rsidRPr="00B852FC">
                      <w:rPr>
                        <w:sz w:val="20"/>
                        <w:szCs w:val="20"/>
                      </w:rPr>
                      <w:t xml:space="preserve">active UL BWP of the other </w:t>
                    </w:r>
                  </w:ins>
                  <w:r w:rsidRPr="00B852FC">
                    <w:rPr>
                      <w:sz w:val="20"/>
                      <w:szCs w:val="20"/>
                    </w:rPr>
                    <w:t xml:space="preserve">uplink </w:t>
                  </w:r>
                  <w:ins w:id="73" w:author="ZTE" w:date="2021-01-12T16:09:00Z">
                    <w:r w:rsidRPr="00B852FC">
                      <w:rPr>
                        <w:sz w:val="20"/>
                        <w:szCs w:val="20"/>
                      </w:rPr>
                      <w:t xml:space="preserve">carrier </w:t>
                    </w:r>
                  </w:ins>
                  <w:del w:id="74"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75" w:name="_Toc45810628"/>
            <w:bookmarkStart w:id="76" w:name="_Toc60777204"/>
            <w:r w:rsidRPr="00B852FC">
              <w:rPr>
                <w:lang w:val="x-none"/>
              </w:rPr>
              <w:t>6.1.6.1</w:t>
            </w:r>
            <w:r w:rsidRPr="00B852FC">
              <w:rPr>
                <w:lang w:val="x-none"/>
              </w:rPr>
              <w:tab/>
              <w:t>Uplink switching for EN-DC</w:t>
            </w:r>
            <w:bookmarkEnd w:id="75"/>
            <w:bookmarkEnd w:id="76"/>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77"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w:t>
            </w:r>
            <w:proofErr w:type="gramStart"/>
            <w:r w:rsidRPr="00B852FC">
              <w:rPr>
                <w:b/>
                <w:bCs/>
              </w:rPr>
              <w:t>as long as</w:t>
            </w:r>
            <w:proofErr w:type="gramEnd"/>
            <w:r w:rsidRPr="00B852FC">
              <w:rPr>
                <w:b/>
                <w:bCs/>
              </w:rPr>
              <w:t xml:space="preserve">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77"/>
          <w:p w14:paraId="43902CA0" w14:textId="77777777" w:rsidR="00B852FC" w:rsidRPr="00B852FC" w:rsidRDefault="00B852FC" w:rsidP="00B852FC">
            <w:pPr>
              <w:rPr>
                <w:b/>
                <w:bCs/>
              </w:rPr>
            </w:pPr>
            <w:r w:rsidRPr="00B852FC">
              <w:rPr>
                <w:b/>
                <w:bCs/>
              </w:rPr>
              <w:lastRenderedPageBreak/>
              <w:t>Proposal 4: When the UE transmits SRS with Tx switching according to capability ‘</w:t>
            </w:r>
            <w:proofErr w:type="spellStart"/>
            <w:r w:rsidRPr="00B852FC">
              <w:rPr>
                <w:b/>
                <w:bCs/>
              </w:rPr>
              <w:t>xTyR</w:t>
            </w:r>
            <w:proofErr w:type="spellEnd"/>
            <w:r w:rsidRPr="00B852FC">
              <w:rPr>
                <w:b/>
                <w:bCs/>
              </w:rPr>
              <w:t>’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78" w:name="_Hlk61637323"/>
            <w:r w:rsidRPr="00BF15F1">
              <w:t xml:space="preserve">NOTE 2:  For UL Tx switching between </w:t>
            </w:r>
            <w:del w:id="79" w:author="Author">
              <w:r w:rsidRPr="00BF15F1" w:rsidDel="00BF15F1">
                <w:delText>carriers in</w:delText>
              </w:r>
            </w:del>
            <w:ins w:id="80" w:author="Author">
              <w:r>
                <w:t>two</w:t>
              </w:r>
            </w:ins>
            <w:r w:rsidRPr="00BF15F1">
              <w:t xml:space="preserve"> cell</w:t>
            </w:r>
            <w:ins w:id="81" w:author="Author">
              <w:r>
                <w:t>s</w:t>
              </w:r>
            </w:ins>
            <w:del w:id="82" w:author="Author">
              <w:r w:rsidRPr="00BF15F1" w:rsidDel="00BF15F1">
                <w:delText>(s)</w:delText>
              </w:r>
            </w:del>
            <w:r w:rsidRPr="00BF15F1">
              <w:t xml:space="preserve">, only the supported MIMO layer combination across </w:t>
            </w:r>
            <w:del w:id="83" w:author="Author">
              <w:r w:rsidRPr="00BF15F1" w:rsidDel="00BF15F1">
                <w:delText xml:space="preserve">carriers </w:delText>
              </w:r>
            </w:del>
            <w:ins w:id="84" w:author="Author">
              <w:r>
                <w:t>the two cells</w:t>
              </w:r>
              <w:r w:rsidRPr="00BF15F1">
                <w:t xml:space="preserve"> </w:t>
              </w:r>
            </w:ins>
            <w:r w:rsidRPr="00BF15F1">
              <w:t xml:space="preserve">that results in the highest combined data rate is counted for </w:t>
            </w:r>
            <w:del w:id="85" w:author="Author">
              <w:r w:rsidRPr="00BF15F1" w:rsidDel="00BF15F1">
                <w:delText xml:space="preserve">the </w:delText>
              </w:r>
            </w:del>
            <w:ins w:id="86" w:author="Author">
              <w:r>
                <w:t>those</w:t>
              </w:r>
              <w:r w:rsidRPr="00BF15F1">
                <w:t xml:space="preserve"> </w:t>
              </w:r>
            </w:ins>
            <w:r w:rsidRPr="00BF15F1">
              <w:t>cell</w:t>
            </w:r>
            <w:ins w:id="87" w:author="Author">
              <w:r>
                <w:t>s</w:t>
              </w:r>
            </w:ins>
            <w:del w:id="88" w:author="Author">
              <w:r w:rsidRPr="00BF15F1" w:rsidDel="00BF15F1">
                <w:delText>(s)</w:delText>
              </w:r>
            </w:del>
            <w:r w:rsidRPr="00BF15F1">
              <w:t xml:space="preserve"> in the supported maximum UL data rate.</w:t>
            </w:r>
            <w:bookmarkEnd w:id="78"/>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 xml:space="preserve">Huawei, </w:t>
            </w:r>
            <w:proofErr w:type="spellStart"/>
            <w:r w:rsidRPr="0083438A">
              <w:rPr>
                <w:b/>
                <w:lang w:eastAsia="zh-CN"/>
              </w:rPr>
              <w:t>HiSilicon</w:t>
            </w:r>
            <w:proofErr w:type="spellEnd"/>
            <w:r w:rsidRPr="0083438A">
              <w:rPr>
                <w:b/>
                <w:lang w:eastAsia="zh-CN"/>
              </w:rPr>
              <w:t>(R1-2101738)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89" w:author="HUAWEI" w:date="2021-01-07T14:48:00Z">
              <w:r>
                <w:rPr>
                  <w:rFonts w:hint="eastAsia"/>
                  <w:lang w:val="x-none" w:eastAsia="zh-CN"/>
                </w:rPr>
                <w:t>.</w:t>
              </w:r>
              <w:r>
                <w:rPr>
                  <w:lang w:val="x-none" w:eastAsia="zh-CN"/>
                </w:rPr>
                <w:t xml:space="preserve"> </w:t>
              </w:r>
            </w:ins>
            <m:oMath>
              <m:sSub>
                <m:sSubPr>
                  <m:ctrlPr>
                    <w:ins w:id="90" w:author="HUAWEI" w:date="2021-01-07T14:48:00Z">
                      <w:rPr>
                        <w:rFonts w:ascii="Cambria Math" w:hAnsi="Cambria Math"/>
                        <w:i/>
                        <w:lang w:val="x-none"/>
                      </w:rPr>
                    </w:ins>
                  </m:ctrlPr>
                </m:sSubPr>
                <m:e>
                  <m:r>
                    <w:ins w:id="91" w:author="HUAWEI" w:date="2021-01-07T14:48:00Z">
                      <w:rPr>
                        <w:rFonts w:ascii="Cambria Math" w:hAnsi="Cambria Math"/>
                        <w:lang w:val="x-none"/>
                      </w:rPr>
                      <m:t>T</m:t>
                    </w:ins>
                  </m:r>
                </m:e>
                <m:sub>
                  <m:r>
                    <w:ins w:id="92" w:author="HUAWEI" w:date="2021-01-07T14:48:00Z">
                      <m:rPr>
                        <m:sty m:val="p"/>
                      </m:rPr>
                      <w:rPr>
                        <w:rFonts w:ascii="Cambria Math" w:hAnsi="Cambria Math"/>
                        <w:lang w:val="x-none"/>
                      </w:rPr>
                      <m:t>switch</m:t>
                    </w:ins>
                  </m:r>
                </m:sub>
              </m:sSub>
            </m:oMath>
            <w:ins w:id="93"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94" w:author="HUAWEI" w:date="2021-01-07T14:49:00Z">
                      <w:rPr>
                        <w:rFonts w:ascii="Cambria Math" w:hAnsi="Cambria Math"/>
                        <w:lang w:val="x-none" w:eastAsia="zh-CN"/>
                      </w:rPr>
                    </w:ins>
                  </m:ctrlPr>
                </m:sSubPr>
                <m:e>
                  <m:r>
                    <w:ins w:id="95" w:author="HUAWEI" w:date="2021-01-07T14:49:00Z">
                      <w:rPr>
                        <w:rFonts w:ascii="Cambria Math" w:hAnsi="Cambria Math"/>
                        <w:lang w:val="x-none" w:eastAsia="zh-CN"/>
                      </w:rPr>
                      <m:t>Z</m:t>
                    </w:ins>
                  </m:r>
                </m:e>
                <m:sub>
                  <m:r>
                    <w:ins w:id="96" w:author="HUAWEI" w:date="2021-01-07T14:49:00Z">
                      <w:rPr>
                        <w:rFonts w:ascii="Cambria Math" w:hAnsi="Cambria Math"/>
                        <w:lang w:val="x-none" w:eastAsia="zh-CN"/>
                      </w:rPr>
                      <m:t>1</m:t>
                    </w:ins>
                  </m:r>
                </m:sub>
              </m:sSub>
            </m:oMath>
            <w:ins w:id="97"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98" w:author="HUAWEI" w:date="2021-01-07T14:50:00Z">
                  <w:rPr>
                    <w:rFonts w:ascii="Cambria Math" w:hAnsi="Cambria Math"/>
                    <w:lang w:val="x-none"/>
                  </w:rPr>
                  <m:t>Z</m:t>
                </w:ins>
              </m:r>
            </m:oMath>
            <w:ins w:id="99"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00" w:author="HUAWEI" w:date="2021-01-07T14:46:00Z">
              <w:r>
                <w:t xml:space="preserve"> and</w:t>
              </w:r>
            </w:ins>
            <w:r w:rsidRPr="004E45B9">
              <w:t xml:space="preserve"> </w:t>
            </w:r>
            <m:oMath>
              <m:r>
                <w:rPr>
                  <w:rFonts w:ascii="Cambria Math" w:hAnsi="Cambria Math"/>
                  <w:lang w:val="x-none"/>
                </w:rPr>
                <m:t>Z</m:t>
              </m:r>
            </m:oMath>
            <w:r w:rsidRPr="004E45B9">
              <w:t xml:space="preserve"> </w:t>
            </w:r>
            <w:del w:id="101" w:author="HUAWEI" w:date="2021-01-07T14:46:00Z">
              <w:r w:rsidRPr="004E45B9" w:rsidDel="004E45B9">
                <w:rPr>
                  <w:lang w:val="x-none"/>
                </w:rPr>
                <w:delText xml:space="preserve">and </w:delText>
              </w:r>
            </w:del>
            <m:oMath>
              <m:sSub>
                <m:sSubPr>
                  <m:ctrlPr>
                    <w:del w:id="102" w:author="HUAWEI" w:date="2021-01-07T14:46:00Z">
                      <w:rPr>
                        <w:rFonts w:ascii="Cambria Math" w:hAnsi="Cambria Math"/>
                        <w:lang w:val="x-none"/>
                      </w:rPr>
                    </w:del>
                  </m:ctrlPr>
                </m:sSubPr>
                <m:e>
                  <m:r>
                    <w:del w:id="103" w:author="HUAWEI" w:date="2021-01-07T14:46:00Z">
                      <w:rPr>
                        <w:rFonts w:ascii="Cambria Math" w:hAnsi="Cambria Math"/>
                        <w:lang w:val="x-none"/>
                      </w:rPr>
                      <m:t>T</m:t>
                    </w:del>
                  </m:r>
                </m:e>
                <m:sub>
                  <m:r>
                    <w:del w:id="104" w:author="HUAWEI" w:date="2021-01-07T14:46:00Z">
                      <m:rPr>
                        <m:sty m:val="p"/>
                      </m:rPr>
                      <w:rPr>
                        <w:rFonts w:ascii="Cambria Math" w:hAnsi="Cambria Math"/>
                        <w:lang w:val="x-none"/>
                      </w:rPr>
                      <m:t>switch</m:t>
                    </w:del>
                  </m:r>
                </m:sub>
              </m:sSub>
              <m:r>
                <w:del w:id="105"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06" w:author="HUAWEI" w:date="2021-01-07T14:47:00Z">
                      <w:rPr>
                        <w:rFonts w:ascii="Cambria Math" w:hAnsi="Cambria Math"/>
                        <w:lang w:val="x-none"/>
                      </w:rPr>
                    </w:del>
                  </m:ctrlPr>
                </m:sSubPr>
                <m:e>
                  <m:r>
                    <w:del w:id="107" w:author="HUAWEI" w:date="2021-01-07T14:47:00Z">
                      <w:rPr>
                        <w:rFonts w:ascii="Cambria Math" w:hAnsi="Cambria Math"/>
                        <w:lang w:val="x-none"/>
                      </w:rPr>
                      <m:t>T</m:t>
                    </w:del>
                  </m:r>
                </m:e>
                <m:sub>
                  <m:r>
                    <w:del w:id="108" w:author="HUAWEI" w:date="2021-01-07T14:47:00Z">
                      <m:rPr>
                        <m:sty m:val="p"/>
                      </m:rPr>
                      <w:rPr>
                        <w:rFonts w:ascii="Cambria Math" w:hAnsi="Cambria Math"/>
                        <w:lang w:val="x-none"/>
                      </w:rPr>
                      <m:t>switch</m:t>
                    </w:del>
                  </m:r>
                </m:sub>
              </m:sSub>
            </m:oMath>
            <w:del w:id="10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10" w:author="HUAWEI" w:date="2021-01-07T14:47:00Z">
                      <w:rPr>
                        <w:rFonts w:ascii="Cambria Math" w:hAnsi="Cambria Math"/>
                        <w:lang w:val="x-none"/>
                      </w:rPr>
                    </w:del>
                  </m:ctrlPr>
                </m:sSubPr>
                <m:e>
                  <m:r>
                    <w:del w:id="111" w:author="HUAWEI" w:date="2021-01-07T14:47:00Z">
                      <w:rPr>
                        <w:rFonts w:ascii="Cambria Math" w:hAnsi="Cambria Math"/>
                        <w:lang w:val="x-none"/>
                      </w:rPr>
                      <m:t>Z</m:t>
                    </w:del>
                  </m:r>
                </m:e>
                <m:sub>
                  <m:r>
                    <w:del w:id="112" w:author="HUAWEI" w:date="2021-01-07T14:47:00Z">
                      <m:rPr>
                        <m:sty m:val="p"/>
                      </m:rPr>
                      <w:rPr>
                        <w:rFonts w:ascii="Cambria Math" w:hAnsi="Cambria Math"/>
                        <w:lang w:val="x-none"/>
                      </w:rPr>
                      <m:t>1</m:t>
                    </w:del>
                  </m:r>
                </m:sub>
              </m:sSub>
            </m:oMath>
            <w:del w:id="113"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14" w:author="HUAWEI" w:date="2021-01-07T14:47:00Z">
                  <w:rPr>
                    <w:rFonts w:ascii="Cambria Math" w:hAnsi="Cambria Math"/>
                    <w:lang w:val="x-none"/>
                  </w:rPr>
                  <m:t>Z</m:t>
                </w:del>
              </m:r>
              <m:r>
                <w:del w:id="115" w:author="HUAWEI" w:date="2021-01-07T14:47:00Z">
                  <m:rPr>
                    <m:sty m:val="p"/>
                  </m:rPr>
                  <w:rPr>
                    <w:rFonts w:ascii="Cambria Math" w:hAnsi="Cambria Math" w:hint="eastAsia"/>
                    <w:lang w:val="x-none"/>
                  </w:rPr>
                  <m:t>,</m:t>
                </w:del>
              </m:r>
            </m:oMath>
            <w:del w:id="116"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6DA84" w14:textId="77777777" w:rsidR="00307860" w:rsidRDefault="00307860">
      <w:pPr>
        <w:spacing w:after="0" w:line="240" w:lineRule="auto"/>
      </w:pPr>
      <w:r>
        <w:separator/>
      </w:r>
    </w:p>
  </w:endnote>
  <w:endnote w:type="continuationSeparator" w:id="0">
    <w:p w14:paraId="51F63550" w14:textId="77777777" w:rsidR="00307860" w:rsidRDefault="0030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58804D76"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4665">
      <w:rPr>
        <w:rFonts w:ascii="Arial" w:hAnsi="Arial" w:cs="Arial"/>
        <w:b/>
        <w:noProof/>
        <w:sz w:val="18"/>
        <w:szCs w:val="18"/>
      </w:rPr>
      <w:t>5</w:t>
    </w:r>
    <w:r>
      <w:rPr>
        <w:rFonts w:ascii="Arial" w:hAnsi="Arial" w:cs="Arial"/>
        <w:b/>
        <w:sz w:val="18"/>
        <w:szCs w:val="18"/>
      </w:rPr>
      <w:fldChar w:fldCharType="end"/>
    </w:r>
  </w:p>
  <w:p w14:paraId="43902CBA" w14:textId="77777777" w:rsidR="00396313" w:rsidRDefault="00396313">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E3641" w14:textId="77777777" w:rsidR="00307860" w:rsidRDefault="00307860">
      <w:pPr>
        <w:spacing w:after="0" w:line="240" w:lineRule="auto"/>
      </w:pPr>
      <w:r>
        <w:separator/>
      </w:r>
    </w:p>
  </w:footnote>
  <w:footnote w:type="continuationSeparator" w:id="0">
    <w:p w14:paraId="572353B4" w14:textId="77777777" w:rsidR="00307860" w:rsidRDefault="00307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24"/>
  </w:num>
  <w:num w:numId="3">
    <w:abstractNumId w:val="1"/>
  </w:num>
  <w:num w:numId="4">
    <w:abstractNumId w:val="23"/>
  </w:num>
  <w:num w:numId="5">
    <w:abstractNumId w:val="21"/>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13"/>
  </w:num>
  <w:num w:numId="12">
    <w:abstractNumId w:val="30"/>
  </w:num>
  <w:num w:numId="13">
    <w:abstractNumId w:val="2"/>
  </w:num>
  <w:num w:numId="14">
    <w:abstractNumId w:val="20"/>
  </w:num>
  <w:num w:numId="15">
    <w:abstractNumId w:val="22"/>
  </w:num>
  <w:num w:numId="16">
    <w:abstractNumId w:val="17"/>
  </w:num>
  <w:num w:numId="17">
    <w:abstractNumId w:val="3"/>
  </w:num>
  <w:num w:numId="18">
    <w:abstractNumId w:val="14"/>
  </w:num>
  <w:num w:numId="19">
    <w:abstractNumId w:val="8"/>
  </w:num>
  <w:num w:numId="20">
    <w:abstractNumId w:val="25"/>
  </w:num>
  <w:num w:numId="21">
    <w:abstractNumId w:val="6"/>
  </w:num>
  <w:num w:numId="22">
    <w:abstractNumId w:val="9"/>
  </w:num>
  <w:num w:numId="23">
    <w:abstractNumId w:val="28"/>
  </w:num>
  <w:num w:numId="24">
    <w:abstractNumId w:val="5"/>
  </w:num>
  <w:num w:numId="25">
    <w:abstractNumId w:val="16"/>
  </w:num>
  <w:num w:numId="26">
    <w:abstractNumId w:val="5"/>
  </w:num>
  <w:num w:numId="27">
    <w:abstractNumId w:val="5"/>
  </w:num>
  <w:num w:numId="28">
    <w:abstractNumId w:val="5"/>
  </w:num>
  <w:num w:numId="29">
    <w:abstractNumId w:val="5"/>
  </w:num>
  <w:num w:numId="30">
    <w:abstractNumId w:val="5"/>
  </w:num>
  <w:num w:numId="31">
    <w:abstractNumId w:val="32"/>
  </w:num>
  <w:num w:numId="32">
    <w:abstractNumId w:val="10"/>
  </w:num>
  <w:num w:numId="33">
    <w:abstractNumId w:val="31"/>
  </w:num>
  <w:num w:numId="34">
    <w:abstractNumId w:val="29"/>
  </w:num>
  <w:num w:numId="35">
    <w:abstractNumId w:val="15"/>
  </w:num>
  <w:num w:numId="36">
    <w:abstractNumId w:val="7"/>
  </w:num>
  <w:num w:numId="37">
    <w:abstractNumId w:val="26"/>
  </w:num>
  <w:num w:numId="38">
    <w:abstractNumId w:val="5"/>
  </w:num>
  <w:num w:numId="39">
    <w:abstractNumId w:val="4"/>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EC787F-B057-4DDE-9158-9595A55A98D1}">
  <ds:schemaRefs>
    <ds:schemaRef ds:uri="http://schemas.openxmlformats.org/officeDocument/2006/bibliography"/>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11</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6</cp:revision>
  <cp:lastPrinted>2004-04-14T09:17:00Z</cp:lastPrinted>
  <dcterms:created xsi:type="dcterms:W3CDTF">2021-01-27T06:58:00Z</dcterms:created>
  <dcterms:modified xsi:type="dcterms:W3CDTF">2021-01-27T07:07:00Z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(3)r/luOpRSQcsaDMov/K0Ei+WpucT/xG1UzQB5TqzVTCEPMeD1YdQjey4i3/0A4oZ59pAFkYjS
jfy1TOcyQ9aWuRI4vONOkwL0op42uTkmUlek2vEtrnZBeBpLYvB0DmJbU64XSEyWdGZY6WlT
uOhz13A9fJenP8jA8OEDJUnu6MPBl7NowgARfpiSMIDha68duSO1lIpzu5g1CVOCKC1LrvMd
E7N0xojfTxWtVC0LV6</vt:lpwstr>
  </property>
  <property fmtid="{D5CDD505-2E9C-101B-9397-08002B2CF9AE}" pid="3" name="_2015_ms_pID_7253431">
    <vt:lpwstr>lUGRMhvKxPyZJ4B5+MpjlUC1vYZJLcEQ6icPE3l2D7D8CF+5AYx6pi
TKttjI2Ztni9u31DBdcsQyNm9J2X7TOPBytBAY6czJOtoR+yQPMfNmvwXKYmGjzOEAjwYj5w
YU8iW7D+cOd5SIOtOsa82hhRnq7EJT88yRJ3wtXcZCdNvd+8dnjC/SDnrPEsBiGJtQ7xGzFA
1ixb4OEqTaSFRsfehUbwaZkx8U0yY1hMZNBh</vt:lpwstr>
  </property>
  <property fmtid="{D5CDD505-2E9C-101B-9397-08002B2CF9AE}" pid="4" name="KSOProductBuildVer">
    <vt:lpwstr>2052-11.8.2.9022</vt:lpwstr>
  </property>
  <property fmtid="{D5CDD505-2E9C-101B-9397-08002B2CF9AE}" pid="5" name="_2015_ms_pID_7253432">
    <vt:lpwstr>PQ==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1611655301</vt:lpwstr>
  </property>
</Properties>
</file>