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af0"/>
        <w:jc w:val="left"/>
        <w:rPr>
          <w:color w:val="000000"/>
          <w:sz w:val="16"/>
          <w:szCs w:val="16"/>
        </w:rPr>
      </w:pPr>
    </w:p>
    <w:p w14:paraId="7EF08C12" w14:textId="77777777" w:rsidR="00774F38" w:rsidRPr="00BB4A75" w:rsidRDefault="00774F38" w:rsidP="00BB4A75">
      <w:pPr>
        <w:pStyle w:val="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ac"/>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ＭＳ 明朝" w:hAnsi="Calibri" w:cs="Calibri"/>
              </w:rPr>
            </w:pPr>
            <w:r>
              <w:rPr>
                <w:rFonts w:ascii="Calibri" w:eastAsia="ＭＳ 明朝"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ac"/>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ac"/>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ac"/>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ac"/>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ac"/>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ac"/>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ac"/>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ac"/>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ac"/>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ac"/>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ac"/>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ac"/>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ac"/>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ac"/>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ac"/>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ac"/>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ac"/>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ac"/>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ac"/>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ac"/>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ac"/>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ＭＳ 明朝" w:hAnsi="Calibri" w:cs="Calibri"/>
              </w:rPr>
            </w:pPr>
            <w:r>
              <w:rPr>
                <w:rFonts w:ascii="Calibri" w:eastAsia="ＭＳ 明朝"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sz w:val="20"/>
                <w:szCs w:val="20"/>
                <w:lang w:eastAsia="ko-KR"/>
              </w:rPr>
            </w:pPr>
            <w:r w:rsidRPr="00D35766">
              <w:rPr>
                <w:rStyle w:val="normaltextrun"/>
                <w:rFonts w:eastAsia="SimSun"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Malgun Gothic"/>
                <w:lang w:eastAsia="ko-KR"/>
              </w:rPr>
            </w:pPr>
            <w:r>
              <w:rPr>
                <w:rFonts w:eastAsia="Malgun Gothic" w:hint="eastAsia"/>
                <w:lang w:eastAsia="ko-KR"/>
              </w:rPr>
              <w:t>Same view with Ericsson</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ac"/>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ac"/>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ac"/>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ac"/>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ac"/>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ac"/>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ac"/>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ac"/>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ＭＳ 明朝" w:hAnsi="Calibri" w:cs="Calibri"/>
              </w:rPr>
            </w:pPr>
            <w:r>
              <w:rPr>
                <w:rFonts w:ascii="Calibri" w:eastAsia="ＭＳ 明朝" w:hAnsi="Calibri" w:cs="Calibri"/>
              </w:rPr>
              <w:t>Comments/Questions/Suggestions</w:t>
            </w:r>
          </w:p>
        </w:tc>
      </w:tr>
      <w:tr w:rsidR="00642E08" w14:paraId="62359DDA" w14:textId="77777777" w:rsidTr="00195E4F">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195E4F">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to clarify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r w:rsidR="000F324A" w14:paraId="1264F9A4" w14:textId="77777777" w:rsidTr="00195E4F">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SimSun"/>
              </w:rPr>
            </w:pPr>
            <w:r>
              <w:rPr>
                <w:rFonts w:eastAsia="SimSun"/>
              </w:rPr>
              <w:t>Notes 4~11 is not needed. As a basic description for component 1~3, we have a hat of “</w:t>
            </w:r>
            <w:r w:rsidRPr="000F324A">
              <w:rPr>
                <w:rFonts w:eastAsia="SimSun"/>
              </w:rPr>
              <w:t>Per slot limitations</w:t>
            </w:r>
            <w:r>
              <w:rPr>
                <w:rFonts w:eastAsia="SimSun"/>
              </w:rPr>
              <w:t xml:space="preserve">”, and so even without Note-4, we do not see any ambiguities. </w:t>
            </w:r>
          </w:p>
        </w:tc>
      </w:tr>
      <w:tr w:rsidR="00D35766" w14:paraId="3C091E9E" w14:textId="77777777" w:rsidTr="00195E4F">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Malgun Gothic"/>
                <w:lang w:eastAsia="ko-KR"/>
              </w:rPr>
            </w:pPr>
            <w:r>
              <w:rPr>
                <w:rFonts w:eastAsia="Malgun Gothic" w:hint="eastAsia"/>
                <w:lang w:eastAsia="ko-KR"/>
              </w:rPr>
              <w:t>In our view, the</w:t>
            </w:r>
            <w:r w:rsidR="00FD7BD9">
              <w:rPr>
                <w:rFonts w:eastAsia="Malgun Gothic"/>
                <w:lang w:eastAsia="ko-KR"/>
              </w:rPr>
              <w:t xml:space="preserve"> issues that </w:t>
            </w:r>
            <w:r>
              <w:rPr>
                <w:rFonts w:eastAsia="Malgun Gothic"/>
                <w:lang w:eastAsia="ko-KR"/>
              </w:rPr>
              <w:t>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w:t>
            </w:r>
            <w:r w:rsidR="00FD7BD9">
              <w:rPr>
                <w:rFonts w:eastAsia="Malgun Gothic"/>
                <w:lang w:eastAsia="ko-KR"/>
              </w:rPr>
              <w:t xml:space="preserve"> other</w:t>
            </w:r>
            <w:r>
              <w:rPr>
                <w:rFonts w:eastAsia="Malgun Gothic"/>
                <w:lang w:eastAsia="ko-KR"/>
              </w:rPr>
              <w:t xml:space="preserve"> Rel-15/16 FGs </w:t>
            </w:r>
            <w:r w:rsidR="00FD7BD9">
              <w:rPr>
                <w:rFonts w:eastAsia="Malgun Gothic"/>
                <w:lang w:eastAsia="ko-KR"/>
              </w:rPr>
              <w:t>related to</w:t>
            </w:r>
            <w:r>
              <w:rPr>
                <w:rFonts w:eastAsia="Malgun Gothic"/>
                <w:lang w:eastAsia="ko-KR"/>
              </w:rPr>
              <w:t xml:space="preserve"> RS resources ‘within a slot’ or </w:t>
            </w:r>
            <w:r w:rsidR="00FD7BD9">
              <w:rPr>
                <w:rFonts w:eastAsia="Malgun Gothic"/>
                <w:lang w:eastAsia="ko-KR"/>
              </w:rPr>
              <w:t xml:space="preserve">‘configured to be measured’. </w:t>
            </w:r>
            <w:r>
              <w:rPr>
                <w:rFonts w:eastAsia="Malgun Gothic"/>
                <w:lang w:eastAsia="ko-KR"/>
              </w:rPr>
              <w:t xml:space="preserve"> </w:t>
            </w:r>
            <w:r w:rsidR="00FD7BD9">
              <w:rPr>
                <w:rFonts w:eastAsia="Malgun Gothic"/>
                <w:lang w:eastAsia="ko-KR"/>
              </w:rPr>
              <w:t>We prefer to align the definition of ‘per-slot limitation’ and ‘memory limitation’ across all related Rel-15/16 FGs, which could be handled by RAN2. Thus, we don’t prefer adding note 4~11 on this specific FG.</w:t>
            </w:r>
          </w:p>
        </w:tc>
      </w:tr>
      <w:tr w:rsidR="00195E4F" w14:paraId="4CD01125" w14:textId="77777777" w:rsidTr="00195E4F">
        <w:tc>
          <w:tcPr>
            <w:tcW w:w="1818" w:type="dxa"/>
            <w:tcBorders>
              <w:top w:val="single" w:sz="4" w:space="0" w:color="auto"/>
              <w:left w:val="single" w:sz="4" w:space="0" w:color="auto"/>
              <w:bottom w:val="single" w:sz="4" w:space="0" w:color="auto"/>
              <w:right w:val="single" w:sz="4" w:space="0" w:color="auto"/>
            </w:tcBorders>
          </w:tcPr>
          <w:p w14:paraId="48DFF974" w14:textId="68408442" w:rsidR="00195E4F" w:rsidRDefault="00195E4F" w:rsidP="00195E4F">
            <w:pPr>
              <w:pStyle w:val="paragraph"/>
              <w:spacing w:before="0" w:beforeAutospacing="0" w:after="0" w:afterAutospacing="0"/>
              <w:textAlignment w:val="baseline"/>
              <w:rPr>
                <w:rStyle w:val="normaltextrun"/>
                <w:rFonts w:eastAsia="Malgun Gothic" w:hint="eastAsia"/>
                <w:sz w:val="20"/>
                <w:szCs w:val="20"/>
                <w:lang w:eastAsia="ko-KR"/>
              </w:rPr>
            </w:pPr>
            <w:r>
              <w:rPr>
                <w:rStyle w:val="normaltextrun"/>
                <w:rFonts w:eastAsia="游明朝"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371B8EC" w14:textId="0E1EC3BA" w:rsidR="00195E4F" w:rsidRDefault="00195E4F" w:rsidP="00195E4F">
            <w:pPr>
              <w:rPr>
                <w:rFonts w:eastAsia="Malgun Gothic" w:hint="eastAsia"/>
                <w:lang w:eastAsia="ko-KR"/>
              </w:rPr>
            </w:pPr>
            <w:r>
              <w:rPr>
                <w:rFonts w:eastAsia="游明朝" w:hint="eastAsia"/>
                <w:lang w:eastAsia="ja-JP"/>
              </w:rPr>
              <w:t xml:space="preserve">Support Note 4 only. </w:t>
            </w:r>
            <w:r>
              <w:rPr>
                <w:rFonts w:eastAsia="游明朝"/>
                <w:lang w:eastAsia="ja-JP"/>
              </w:rPr>
              <w:t>Also fine with Apple’s update.</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ＭＳ 明朝" w:hAnsi="Calibri" w:cs="Calibri"/>
              </w:rPr>
            </w:pPr>
            <w:r>
              <w:rPr>
                <w:rFonts w:ascii="Calibri" w:eastAsia="ＭＳ 明朝"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ac"/>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ac"/>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to clarify as </w:t>
            </w:r>
          </w:p>
          <w:p w14:paraId="6D326815" w14:textId="09B55828" w:rsidR="00B81A5A" w:rsidRDefault="00B81A5A" w:rsidP="00B81A5A">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Note 7:</w:t>
            </w:r>
          </w:p>
          <w:p w14:paraId="464DBBE3" w14:textId="79E68FFB" w:rsidR="00B81A5A" w:rsidRDefault="00B81A5A" w:rsidP="00B81A5A">
            <w:pPr>
              <w:rPr>
                <w:rFonts w:eastAsia="SimSun"/>
              </w:rPr>
            </w:pPr>
            <w:r>
              <w:rPr>
                <w:rFonts w:eastAsia="SimSun"/>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SimSun"/>
              </w:rPr>
            </w:pPr>
            <w:r>
              <w:rPr>
                <w:rFonts w:eastAsia="SimSun"/>
              </w:rPr>
              <w:t>We are fine with note 3, but do not support other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SimSun"/>
              </w:rPr>
            </w:pPr>
            <w:r>
              <w:rPr>
                <w:rFonts w:eastAsia="Malgun Gothic" w:hint="eastAsia"/>
                <w:lang w:eastAsia="ko-KR"/>
              </w:rPr>
              <w:t>In our view, the</w:t>
            </w:r>
            <w:r>
              <w:rPr>
                <w:rFonts w:eastAsia="Malgun Gothic"/>
                <w:lang w:eastAsia="ko-KR"/>
              </w:rPr>
              <w:t xml:space="preserve"> issues that 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r w:rsidR="00195E4F" w14:paraId="7EE28621" w14:textId="77777777" w:rsidTr="00B81A5A">
        <w:tc>
          <w:tcPr>
            <w:tcW w:w="1818" w:type="dxa"/>
            <w:tcBorders>
              <w:top w:val="single" w:sz="4" w:space="0" w:color="auto"/>
              <w:left w:val="single" w:sz="4" w:space="0" w:color="auto"/>
              <w:bottom w:val="single" w:sz="4" w:space="0" w:color="auto"/>
              <w:right w:val="single" w:sz="4" w:space="0" w:color="auto"/>
            </w:tcBorders>
          </w:tcPr>
          <w:p w14:paraId="0733DD26" w14:textId="259B4960" w:rsidR="00195E4F" w:rsidRDefault="00195E4F" w:rsidP="00195E4F">
            <w:pPr>
              <w:pStyle w:val="paragraph"/>
              <w:spacing w:before="0" w:beforeAutospacing="0" w:after="0" w:afterAutospacing="0"/>
              <w:textAlignment w:val="baseline"/>
              <w:rPr>
                <w:rStyle w:val="normaltextrun"/>
                <w:rFonts w:eastAsia="Malgun Gothic" w:hint="eastAsia"/>
                <w:sz w:val="20"/>
                <w:szCs w:val="20"/>
                <w:lang w:eastAsia="ko-KR"/>
              </w:rPr>
            </w:pPr>
            <w:r>
              <w:rPr>
                <w:rStyle w:val="normaltextrun"/>
                <w:rFonts w:eastAsia="游明朝"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B7A284" w14:textId="515AB580" w:rsidR="00195E4F" w:rsidRDefault="00195E4F" w:rsidP="00195E4F">
            <w:pPr>
              <w:rPr>
                <w:rFonts w:eastAsia="Malgun Gothic" w:hint="eastAsia"/>
                <w:lang w:eastAsia="ko-KR"/>
              </w:rPr>
            </w:pPr>
            <w:r>
              <w:rPr>
                <w:rFonts w:eastAsia="游明朝" w:hint="eastAsia"/>
                <w:lang w:eastAsia="ja-JP"/>
              </w:rPr>
              <w:t>Support Note 3 only.</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ＭＳ 明朝" w:hAnsi="Calibri" w:cs="Calibri"/>
              </w:rPr>
            </w:pPr>
            <w:r>
              <w:rPr>
                <w:rFonts w:ascii="Calibri" w:eastAsia="ＭＳ 明朝" w:hAnsi="Calibri" w:cs="Calibri"/>
              </w:rPr>
              <w:t>Comments/Questions/Suggestions</w:t>
            </w:r>
          </w:p>
        </w:tc>
      </w:tr>
      <w:tr w:rsidR="00371FEB" w14:paraId="01C9BF07" w14:textId="77777777" w:rsidTr="00195E4F">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195E4F">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p>
        </w:tc>
      </w:tr>
      <w:tr w:rsidR="00166B9E" w14:paraId="5FBE1568" w14:textId="77777777" w:rsidTr="00195E4F">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195E4F">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Malgun Gothic" w:cs="Arial"/>
                <w:szCs w:val="18"/>
                <w:lang w:eastAsia="ko-KR"/>
              </w:rPr>
            </w:pPr>
            <w:r>
              <w:rPr>
                <w:rFonts w:eastAsia="Malgun Gothic" w:cs="Arial" w:hint="eastAsia"/>
                <w:szCs w:val="18"/>
                <w:lang w:eastAsia="ko-KR"/>
              </w:rPr>
              <w:t xml:space="preserve">Same comment as above FGs. </w:t>
            </w:r>
            <w:r>
              <w:rPr>
                <w:rFonts w:eastAsia="Malgun Gothic" w:cs="Arial"/>
                <w:szCs w:val="18"/>
                <w:lang w:eastAsia="ko-KR"/>
              </w:rPr>
              <w:t>General counting issue can be handled by RAN2 and prefer to align across all FGs.</w:t>
            </w:r>
          </w:p>
        </w:tc>
      </w:tr>
      <w:tr w:rsidR="00195E4F" w14:paraId="2E8DDC30" w14:textId="77777777" w:rsidTr="00195E4F">
        <w:tc>
          <w:tcPr>
            <w:tcW w:w="1818" w:type="dxa"/>
            <w:tcBorders>
              <w:top w:val="single" w:sz="4" w:space="0" w:color="auto"/>
              <w:left w:val="single" w:sz="4" w:space="0" w:color="auto"/>
              <w:bottom w:val="single" w:sz="4" w:space="0" w:color="auto"/>
              <w:right w:val="single" w:sz="4" w:space="0" w:color="auto"/>
            </w:tcBorders>
          </w:tcPr>
          <w:p w14:paraId="5FFE40F5" w14:textId="77B59846" w:rsidR="00195E4F" w:rsidRDefault="00195E4F" w:rsidP="00195E4F">
            <w:pPr>
              <w:pStyle w:val="paragraph"/>
              <w:spacing w:before="0" w:beforeAutospacing="0" w:after="0" w:afterAutospacing="0"/>
              <w:textAlignment w:val="baseline"/>
              <w:rPr>
                <w:rStyle w:val="normaltextrun"/>
                <w:rFonts w:eastAsia="Malgun Gothic" w:hint="eastAsia"/>
                <w:sz w:val="20"/>
                <w:szCs w:val="20"/>
                <w:lang w:eastAsia="ko-KR"/>
              </w:rPr>
            </w:pPr>
            <w:r>
              <w:rPr>
                <w:rStyle w:val="normaltextrun"/>
                <w:rFonts w:ascii="游明朝" w:eastAsia="游明朝" w:hAnsi="游明朝"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80EE5AC" w14:textId="2D61047D" w:rsidR="00195E4F" w:rsidRDefault="00195E4F" w:rsidP="006857F1">
            <w:pPr>
              <w:pStyle w:val="TAL"/>
              <w:rPr>
                <w:rFonts w:eastAsia="Malgun Gothic" w:cs="Arial" w:hint="eastAsia"/>
                <w:szCs w:val="18"/>
                <w:lang w:eastAsia="ko-KR"/>
              </w:rPr>
            </w:pPr>
            <w:r>
              <w:rPr>
                <w:rFonts w:eastAsia="游明朝" w:cs="Arial" w:hint="eastAsia"/>
                <w:szCs w:val="18"/>
              </w:rPr>
              <w:t xml:space="preserve">Support both notes. </w:t>
            </w:r>
            <w:r>
              <w:rPr>
                <w:rFonts w:eastAsia="游明朝" w:cs="Arial"/>
                <w:szCs w:val="18"/>
              </w:rPr>
              <w:t xml:space="preserve">Also </w:t>
            </w:r>
            <w:r w:rsidR="006857F1">
              <w:rPr>
                <w:rFonts w:eastAsia="游明朝" w:cs="Arial"/>
                <w:szCs w:val="18"/>
              </w:rPr>
              <w:t>support</w:t>
            </w:r>
            <w:bookmarkStart w:id="5" w:name="_GoBack"/>
            <w:bookmarkEnd w:id="5"/>
            <w:r>
              <w:rPr>
                <w:rFonts w:eastAsia="游明朝" w:cs="Arial"/>
                <w:szCs w:val="18"/>
              </w:rPr>
              <w:t xml:space="preserve"> ZTE’s update on the 2</w:t>
            </w:r>
            <w:r w:rsidRPr="0005566B">
              <w:rPr>
                <w:rFonts w:eastAsia="游明朝" w:cs="Arial"/>
                <w:szCs w:val="18"/>
                <w:vertAlign w:val="superscript"/>
              </w:rPr>
              <w:t>nd</w:t>
            </w:r>
            <w:r>
              <w:rPr>
                <w:rFonts w:eastAsia="游明朝" w:cs="Arial"/>
                <w:szCs w:val="18"/>
              </w:rPr>
              <w:t xml:space="preserve"> note.</w:t>
            </w: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1"/>
        <w:numPr>
          <w:ilvl w:val="0"/>
          <w:numId w:val="9"/>
        </w:numPr>
        <w:jc w:val="both"/>
      </w:pPr>
      <w:r>
        <w:lastRenderedPageBreak/>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7C83" w14:textId="77777777" w:rsidR="0077056C" w:rsidRDefault="0077056C" w:rsidP="00FF028D">
      <w:pPr>
        <w:spacing w:before="0" w:after="0"/>
      </w:pPr>
      <w:r>
        <w:separator/>
      </w:r>
    </w:p>
  </w:endnote>
  <w:endnote w:type="continuationSeparator" w:id="0">
    <w:p w14:paraId="5E2809D5" w14:textId="77777777" w:rsidR="0077056C" w:rsidRDefault="0077056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EB0F" w14:textId="77777777" w:rsidR="0077056C" w:rsidRDefault="0077056C" w:rsidP="00FF028D">
      <w:pPr>
        <w:spacing w:before="0" w:after="0"/>
      </w:pPr>
      <w:r>
        <w:separator/>
      </w:r>
    </w:p>
  </w:footnote>
  <w:footnote w:type="continuationSeparator" w:id="0">
    <w:p w14:paraId="52C7B034" w14:textId="77777777" w:rsidR="0077056C" w:rsidRDefault="0077056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E4F"/>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6A9B"/>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7F1"/>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056C"/>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lang w:val="en-US" w:eastAsia="en-US"/>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列表段落 (文字),¥¡¡¡¡ì¬º¥¹¥È¶ÎÂä (文字),ÁÐ³ö¶ÎÂä (文字),¥ê¥¹¥È¶ÎÂä (文字),列表段落1 (文字),—ño’i—Ž (文字),1st level - Bullet List Paragraph (文字),Lettre d'introduction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link w:val="4"/>
    <w:rPr>
      <w:rFonts w:ascii="Arial" w:eastAsia="Times New Roman" w:hAnsi="Arial"/>
      <w:b/>
      <w:sz w:val="24"/>
      <w:szCs w:val="24"/>
      <w:lang w:val="en-US" w:eastAsia="en-US"/>
    </w:rPr>
  </w:style>
  <w:style w:type="character" w:customStyle="1" w:styleId="80">
    <w:name w:val="見出し 8 (文字)"/>
    <w:link w:val="8"/>
    <w:rPr>
      <w:rFonts w:ascii="Arial" w:eastAsia="Times New Roman" w:hAnsi="Arial"/>
      <w:i/>
      <w:lang w:val="en-US" w:eastAsia="en-US"/>
    </w:rPr>
  </w:style>
  <w:style w:type="character" w:customStyle="1" w:styleId="30">
    <w:name w:val="見出し 3 (文字)"/>
    <w:link w:val="3"/>
    <w:rPr>
      <w:rFonts w:ascii="Arial" w:eastAsia="Times New Roman" w:hAnsi="Arial"/>
      <w:b/>
      <w:sz w:val="24"/>
      <w:lang w:val="en-US" w:eastAsia="en-US"/>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lang w:val="en-US" w:eastAsia="en-US"/>
    </w:rPr>
  </w:style>
  <w:style w:type="character" w:customStyle="1" w:styleId="50">
    <w:name w:val="見出し 5 (文字)"/>
    <w:link w:val="5"/>
    <w:rPr>
      <w:rFonts w:ascii="Arial" w:eastAsia="Times New Roman" w:hAnsi="Arial"/>
      <w:lang w:val="en-US" w:eastAsia="en-US"/>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aliases w:val="cap (文字),cap Char (文字),Caption Char1 Char (文字),cap Char Char1 (文字),Caption Char Char1 Char (文字),cap Char2 (文字),条目 (文字),cap1 (文字),cap2 (文字),cap11 (文字),Légende-figure (文字),Légende-figure Char (文字),Beschrifubg (文字),Beschriftung Char (文字),题注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aliases w:val="cap,cap Char,Caption Char1 Char,cap Char Char1,Caption Char Char1 Char,cap Char2,条目,cap1,cap2,cap11,Légende-figure,Légende-figure Char,Beschrifubg,Beschriftung Char,label,cap11 Char,cap11 Char Char Char,captions,Caption Char2,题注,Ca,C"/>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列出段落"/>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val="en-US" w:eastAsia="en-US"/>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a"/>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a"/>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a"/>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a"/>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442FA12-3F2C-402C-B7AB-54E9D049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3645</Words>
  <Characters>20780</Characters>
  <Application>Microsoft Office Word</Application>
  <DocSecurity>0</DocSecurity>
  <Lines>173</Lines>
  <Paragraphs>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Yuki Matsumura</cp:lastModifiedBy>
  <cp:revision>4</cp:revision>
  <cp:lastPrinted>2020-07-20T09:11:00Z</cp:lastPrinted>
  <dcterms:created xsi:type="dcterms:W3CDTF">2021-01-26T02:38:00Z</dcterms:created>
  <dcterms:modified xsi:type="dcterms:W3CDTF">2021-01-26T02:42:00Z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