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ListParagraph"/>
        <w:numPr>
          <w:ilvl w:val="0"/>
          <w:numId w:val="31"/>
        </w:numPr>
        <w:autoSpaceDE w:val="0"/>
        <w:autoSpaceDN w:val="0"/>
        <w:spacing w:before="40" w:after="40"/>
        <w:ind w:leftChars="0"/>
        <w:rPr>
          <w:rFonts w:ascii="Arial" w:hAnsi="Arial" w:cs="Arial"/>
          <w:sz w:val="18"/>
        </w:rPr>
      </w:pPr>
      <w:r w:rsidRPr="00171C58">
        <w:rPr>
          <w:rFonts w:ascii="Arial" w:hAnsi="Arial" w:cs="Arial"/>
          <w:sz w:val="18"/>
        </w:rPr>
        <w:t xml:space="preserve">Current RRC command for direct SCell activation does not include TCI state activation information to UE. In current framework, network needs to send separate MAC CE to complete direct SCell activation procedure. Due to this both </w:t>
      </w:r>
      <w:proofErr w:type="spellStart"/>
      <w:r w:rsidRPr="00171C58">
        <w:rPr>
          <w:rFonts w:ascii="Arial" w:hAnsi="Arial" w:cs="Arial"/>
          <w:sz w:val="18"/>
        </w:rPr>
        <w:t>gNB</w:t>
      </w:r>
      <w:proofErr w:type="spellEnd"/>
      <w:r w:rsidRPr="00171C58">
        <w:rPr>
          <w:rFonts w:ascii="Arial" w:hAnsi="Arial" w:cs="Arial"/>
          <w:sz w:val="18"/>
        </w:rPr>
        <w:t xml:space="preserve"> and UE may not realise the full benefit of direction SCell activation feature using existing framework. The </w:t>
      </w:r>
      <w:proofErr w:type="gramStart"/>
      <w:r w:rsidRPr="00171C58">
        <w:rPr>
          <w:rFonts w:ascii="Arial" w:hAnsi="Arial" w:cs="Arial"/>
          <w:sz w:val="18"/>
        </w:rPr>
        <w:t>above mentioned</w:t>
      </w:r>
      <w:proofErr w:type="gramEnd"/>
      <w:r w:rsidRPr="00171C58">
        <w:rPr>
          <w:rFonts w:ascii="Arial" w:hAnsi="Arial" w:cs="Arial"/>
          <w:sz w:val="18"/>
        </w:rPr>
        <w:t xml:space="preserve"> issue applies to both FR1 and FR2.</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Hyperlink"/>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ListParagraph"/>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ListParagraph"/>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ListParagraph"/>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7DF074EE" w:rsidR="007639F2" w:rsidRDefault="00BA019A" w:rsidP="00D90787">
            <w:pPr>
              <w:spacing w:before="120" w:after="120"/>
            </w:pPr>
            <w:r>
              <w:t>MTK</w:t>
            </w:r>
          </w:p>
        </w:tc>
        <w:tc>
          <w:tcPr>
            <w:tcW w:w="1134" w:type="dxa"/>
          </w:tcPr>
          <w:p w14:paraId="604600F8" w14:textId="0CC2C274" w:rsidR="007639F2" w:rsidRDefault="00BA019A" w:rsidP="00D90787">
            <w:pPr>
              <w:spacing w:before="120" w:after="120"/>
            </w:pPr>
            <w:r>
              <w:t>Yes</w:t>
            </w:r>
          </w:p>
        </w:tc>
        <w:tc>
          <w:tcPr>
            <w:tcW w:w="722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EA43C0">
        <w:tc>
          <w:tcPr>
            <w:tcW w:w="1276"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(PCell)+FR2 (SCell)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PCell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From this perspective, a separate MAC-CE is required to complete direct SCell activation procedure. But of course, RAN2 may come up with some other solutions to handle this issue, e.g., introducing RRC IE to configure the TCI state.</w:t>
            </w:r>
          </w:p>
        </w:tc>
      </w:tr>
      <w:tr w:rsidR="007639F2" w14:paraId="4D5C02A3" w14:textId="77777777" w:rsidTr="00EA43C0">
        <w:tc>
          <w:tcPr>
            <w:tcW w:w="1276" w:type="dxa"/>
          </w:tcPr>
          <w:p w14:paraId="320644E8" w14:textId="164371C2" w:rsidR="007639F2" w:rsidRDefault="00EC6BCE" w:rsidP="00D90787">
            <w:pPr>
              <w:spacing w:before="120" w:after="120"/>
            </w:pPr>
            <w:r>
              <w:t>Nokia, NSB</w:t>
            </w:r>
          </w:p>
        </w:tc>
        <w:tc>
          <w:tcPr>
            <w:tcW w:w="1134" w:type="dxa"/>
          </w:tcPr>
          <w:p w14:paraId="358E55F1" w14:textId="452C4741" w:rsidR="007639F2" w:rsidRDefault="00EC6BCE" w:rsidP="00D90787">
            <w:pPr>
              <w:spacing w:before="120" w:after="120"/>
            </w:pPr>
            <w:r>
              <w:t>No</w:t>
            </w:r>
          </w:p>
        </w:tc>
        <w:tc>
          <w:tcPr>
            <w:tcW w:w="722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proofErr w:type="spellStart"/>
            <w:r w:rsidRPr="00763C26">
              <w:rPr>
                <w:i/>
                <w:iCs/>
                <w:lang w:val="en-US"/>
              </w:rPr>
              <w:t>controlResourceSetId</w:t>
            </w:r>
            <w:proofErr w:type="spellEnd"/>
            <w:r w:rsidRPr="00763C26">
              <w:rPr>
                <w:lang w:val="en-US"/>
              </w:rPr>
              <w:t xml:space="preserve"> that is configured for active BWP of serving cell</w:t>
            </w:r>
          </w:p>
        </w:tc>
      </w:tr>
      <w:tr w:rsidR="007639F2" w14:paraId="6CAF8526" w14:textId="77777777" w:rsidTr="00EA43C0">
        <w:tc>
          <w:tcPr>
            <w:tcW w:w="1276" w:type="dxa"/>
          </w:tcPr>
          <w:p w14:paraId="5DDE088C" w14:textId="2A843BE7" w:rsidR="007639F2" w:rsidRDefault="00841069" w:rsidP="00D90787">
            <w:pPr>
              <w:spacing w:before="120" w:after="120"/>
            </w:pPr>
            <w:r>
              <w:t>Qualcomm</w:t>
            </w:r>
          </w:p>
        </w:tc>
        <w:tc>
          <w:tcPr>
            <w:tcW w:w="1134" w:type="dxa"/>
          </w:tcPr>
          <w:p w14:paraId="29FABAD4" w14:textId="01A9B152" w:rsidR="007639F2" w:rsidRDefault="00841069" w:rsidP="00D90787">
            <w:pPr>
              <w:spacing w:before="120" w:after="120"/>
            </w:pPr>
            <w:r>
              <w:t>Yes</w:t>
            </w:r>
          </w:p>
        </w:tc>
        <w:tc>
          <w:tcPr>
            <w:tcW w:w="7226" w:type="dxa"/>
          </w:tcPr>
          <w:p w14:paraId="12DE13EF" w14:textId="77777777" w:rsidR="007639F2" w:rsidRDefault="007639F2" w:rsidP="00D90787">
            <w:pPr>
              <w:spacing w:before="120" w:after="120"/>
            </w:pPr>
          </w:p>
        </w:tc>
      </w:tr>
      <w:tr w:rsidR="00C71F68" w14:paraId="264F3F61" w14:textId="77777777" w:rsidTr="00EA43C0">
        <w:tc>
          <w:tcPr>
            <w:tcW w:w="1276"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22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w:t>
            </w:r>
            <w:proofErr w:type="gramStart"/>
            <w:r>
              <w:t>random access</w:t>
            </w:r>
            <w:proofErr w:type="gramEnd"/>
            <w:r>
              <w:t xml:space="preserve">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EA43C0">
        <w:tc>
          <w:tcPr>
            <w:tcW w:w="1276" w:type="dxa"/>
          </w:tcPr>
          <w:p w14:paraId="2F2B4FA4" w14:textId="50ADBB44" w:rsidR="00D64038" w:rsidRDefault="00D64038" w:rsidP="00D90787">
            <w:pPr>
              <w:spacing w:before="120" w:after="120"/>
              <w:rPr>
                <w:rFonts w:eastAsiaTheme="minorEastAsia" w:hint="eastAsia"/>
                <w:lang w:eastAsia="zh-CN"/>
              </w:rPr>
            </w:pPr>
            <w:r>
              <w:rPr>
                <w:rFonts w:eastAsiaTheme="minorEastAsia"/>
                <w:lang w:eastAsia="zh-CN"/>
              </w:rPr>
              <w:t>CATT</w:t>
            </w:r>
          </w:p>
        </w:tc>
        <w:tc>
          <w:tcPr>
            <w:tcW w:w="1134" w:type="dxa"/>
          </w:tcPr>
          <w:p w14:paraId="2B9B0286" w14:textId="4A0DF26C" w:rsidR="00D64038" w:rsidRDefault="00D64038" w:rsidP="00D90787">
            <w:pPr>
              <w:spacing w:before="120" w:after="120"/>
              <w:rPr>
                <w:rFonts w:eastAsiaTheme="minorEastAsia" w:hint="eastAsia"/>
                <w:lang w:eastAsia="zh-CN"/>
              </w:rPr>
            </w:pPr>
            <w:r>
              <w:rPr>
                <w:rFonts w:eastAsiaTheme="minorEastAsia"/>
                <w:lang w:eastAsia="zh-CN"/>
              </w:rPr>
              <w:t>Yes</w:t>
            </w:r>
          </w:p>
        </w:tc>
        <w:tc>
          <w:tcPr>
            <w:tcW w:w="7226" w:type="dxa"/>
          </w:tcPr>
          <w:p w14:paraId="74BC8E24" w14:textId="05A52339" w:rsidR="00D64038" w:rsidRDefault="00D64038" w:rsidP="004B28B5">
            <w:pPr>
              <w:tabs>
                <w:tab w:val="left" w:pos="720"/>
              </w:tabs>
              <w:rPr>
                <w:rFonts w:eastAsiaTheme="minorEastAsia" w:hint="eastAsia"/>
                <w:lang w:eastAsia="zh-CN"/>
              </w:rPr>
            </w:pPr>
            <w:r>
              <w:rPr>
                <w:rFonts w:eastAsiaTheme="minorEastAsia"/>
                <w:lang w:eastAsia="zh-CN"/>
              </w:rPr>
              <w:t xml:space="preserve">Additional MAC message is needed for the SCell TCI state in SCell activation.   </w:t>
            </w:r>
          </w:p>
        </w:tc>
      </w:tr>
    </w:tbl>
    <w:p w14:paraId="2BEE2B3E" w14:textId="65F82A21" w:rsidR="00AA1F04"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TableGrid"/>
        <w:tblW w:w="0" w:type="auto"/>
        <w:tblInd w:w="-5" w:type="dxa"/>
        <w:tblLook w:val="04A0" w:firstRow="1" w:lastRow="0" w:firstColumn="1" w:lastColumn="0" w:noHBand="0" w:noVBand="1"/>
      </w:tblPr>
      <w:tblGrid>
        <w:gridCol w:w="1276"/>
        <w:gridCol w:w="1134"/>
        <w:gridCol w:w="7226"/>
      </w:tblGrid>
      <w:tr w:rsidR="00D236F4" w14:paraId="64A90997" w14:textId="77777777" w:rsidTr="002B5C74">
        <w:tc>
          <w:tcPr>
            <w:tcW w:w="1276" w:type="dxa"/>
          </w:tcPr>
          <w:p w14:paraId="675BC233" w14:textId="77777777" w:rsidR="00D236F4" w:rsidRPr="007639F2" w:rsidRDefault="00D236F4" w:rsidP="002B5C74">
            <w:pPr>
              <w:spacing w:before="120" w:after="120"/>
              <w:rPr>
                <w:b/>
                <w:bCs/>
              </w:rPr>
            </w:pPr>
            <w:r w:rsidRPr="007639F2">
              <w:rPr>
                <w:b/>
                <w:bCs/>
              </w:rPr>
              <w:t>Company</w:t>
            </w:r>
          </w:p>
        </w:tc>
        <w:tc>
          <w:tcPr>
            <w:tcW w:w="1134" w:type="dxa"/>
          </w:tcPr>
          <w:p w14:paraId="463602B5" w14:textId="77777777" w:rsidR="00D236F4" w:rsidRPr="007639F2" w:rsidRDefault="00D236F4" w:rsidP="002B5C74">
            <w:pPr>
              <w:spacing w:before="120" w:after="120"/>
              <w:rPr>
                <w:b/>
                <w:bCs/>
              </w:rPr>
            </w:pPr>
            <w:r>
              <w:rPr>
                <w:b/>
                <w:bCs/>
              </w:rPr>
              <w:t>Yes/No</w:t>
            </w:r>
          </w:p>
        </w:tc>
        <w:tc>
          <w:tcPr>
            <w:tcW w:w="7226"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2B5C74">
        <w:tc>
          <w:tcPr>
            <w:tcW w:w="1276" w:type="dxa"/>
          </w:tcPr>
          <w:p w14:paraId="43E1C16B" w14:textId="0C825264" w:rsidR="00D236F4" w:rsidRDefault="001A4367" w:rsidP="002B5C74">
            <w:pPr>
              <w:spacing w:before="120" w:after="120"/>
            </w:pPr>
            <w:r>
              <w:t>MTK</w:t>
            </w:r>
          </w:p>
        </w:tc>
        <w:tc>
          <w:tcPr>
            <w:tcW w:w="1134" w:type="dxa"/>
          </w:tcPr>
          <w:p w14:paraId="46C5FE5C" w14:textId="7E9F7528" w:rsidR="00D236F4" w:rsidRDefault="001A4367" w:rsidP="002B5C74">
            <w:pPr>
              <w:spacing w:before="120" w:after="120"/>
            </w:pPr>
            <w:r>
              <w:t>Yes</w:t>
            </w:r>
          </w:p>
        </w:tc>
        <w:tc>
          <w:tcPr>
            <w:tcW w:w="7226"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2B5C74">
        <w:tc>
          <w:tcPr>
            <w:tcW w:w="1276"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226"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2B5C74">
        <w:tc>
          <w:tcPr>
            <w:tcW w:w="1276" w:type="dxa"/>
          </w:tcPr>
          <w:p w14:paraId="6A46727B" w14:textId="0D8C5A6B" w:rsidR="00D236F4" w:rsidRDefault="00EC6BCE" w:rsidP="002B5C74">
            <w:pPr>
              <w:spacing w:before="120" w:after="120"/>
            </w:pPr>
            <w:r>
              <w:lastRenderedPageBreak/>
              <w:t>Nokia</w:t>
            </w:r>
          </w:p>
        </w:tc>
        <w:tc>
          <w:tcPr>
            <w:tcW w:w="1134" w:type="dxa"/>
          </w:tcPr>
          <w:p w14:paraId="2BA2B79F" w14:textId="200B9E86" w:rsidR="00D236F4" w:rsidRDefault="00EC6BCE" w:rsidP="002B5C74">
            <w:pPr>
              <w:spacing w:before="120" w:after="120"/>
            </w:pPr>
            <w:r>
              <w:t>No</w:t>
            </w:r>
          </w:p>
        </w:tc>
        <w:tc>
          <w:tcPr>
            <w:tcW w:w="7226" w:type="dxa"/>
          </w:tcPr>
          <w:p w14:paraId="1C6B078F" w14:textId="3022C1B1" w:rsidR="00D236F4" w:rsidRDefault="00EC6BCE" w:rsidP="002B5C74">
            <w:pPr>
              <w:spacing w:before="120" w:after="120"/>
            </w:pPr>
            <w:r>
              <w:t>From our view, there are cases when the MAC-CE for activating the TCI state as part of SCell activation is not a mandatory pre-requisite, and don’t see the need to device a new solution for the problem that is not really there.</w:t>
            </w:r>
          </w:p>
        </w:tc>
      </w:tr>
      <w:tr w:rsidR="00D236F4" w14:paraId="58E461D5" w14:textId="77777777" w:rsidTr="002B5C74">
        <w:tc>
          <w:tcPr>
            <w:tcW w:w="1276" w:type="dxa"/>
          </w:tcPr>
          <w:p w14:paraId="188AB602" w14:textId="67CECEB1" w:rsidR="00D236F4" w:rsidRDefault="00CE52D4" w:rsidP="002B5C74">
            <w:pPr>
              <w:spacing w:before="120" w:after="120"/>
            </w:pPr>
            <w:r>
              <w:t>Qualcomm</w:t>
            </w:r>
          </w:p>
        </w:tc>
        <w:tc>
          <w:tcPr>
            <w:tcW w:w="1134" w:type="dxa"/>
          </w:tcPr>
          <w:p w14:paraId="1C752D31" w14:textId="3757183A" w:rsidR="00D236F4" w:rsidRDefault="00CE52D4" w:rsidP="002B5C74">
            <w:pPr>
              <w:spacing w:before="120" w:after="120"/>
            </w:pPr>
            <w:r>
              <w:t>No</w:t>
            </w:r>
          </w:p>
        </w:tc>
        <w:tc>
          <w:tcPr>
            <w:tcW w:w="7226"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2B5C74">
        <w:tc>
          <w:tcPr>
            <w:tcW w:w="1276"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226"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2B5C74">
        <w:tc>
          <w:tcPr>
            <w:tcW w:w="1276" w:type="dxa"/>
          </w:tcPr>
          <w:p w14:paraId="698DBE58" w14:textId="79D62AFD" w:rsidR="00D64038" w:rsidRDefault="00D64038" w:rsidP="002B5C74">
            <w:pPr>
              <w:spacing w:before="120" w:after="120"/>
              <w:rPr>
                <w:rFonts w:eastAsiaTheme="minorEastAsia" w:hint="eastAsia"/>
                <w:lang w:eastAsia="zh-CN"/>
              </w:rPr>
            </w:pPr>
            <w:r>
              <w:rPr>
                <w:rFonts w:eastAsiaTheme="minorEastAsia"/>
                <w:lang w:eastAsia="zh-CN"/>
              </w:rPr>
              <w:t>CATT</w:t>
            </w:r>
          </w:p>
        </w:tc>
        <w:tc>
          <w:tcPr>
            <w:tcW w:w="1134" w:type="dxa"/>
          </w:tcPr>
          <w:p w14:paraId="7DCC36B1" w14:textId="2818FED6" w:rsidR="00D64038" w:rsidRDefault="00D64038" w:rsidP="002B5C74">
            <w:pPr>
              <w:spacing w:before="120" w:after="120"/>
              <w:rPr>
                <w:rFonts w:eastAsiaTheme="minorEastAsia" w:hint="eastAsia"/>
                <w:lang w:eastAsia="zh-CN"/>
              </w:rPr>
            </w:pPr>
            <w:r>
              <w:rPr>
                <w:rFonts w:eastAsiaTheme="minorEastAsia"/>
                <w:lang w:eastAsia="zh-CN"/>
              </w:rPr>
              <w:t>No</w:t>
            </w:r>
          </w:p>
        </w:tc>
        <w:tc>
          <w:tcPr>
            <w:tcW w:w="7226" w:type="dxa"/>
          </w:tcPr>
          <w:p w14:paraId="1E5B26C1" w14:textId="0BB71DAC" w:rsidR="00D64038" w:rsidRDefault="00D64038" w:rsidP="00E46BA6">
            <w:pPr>
              <w:spacing w:before="120" w:after="120"/>
              <w:rPr>
                <w:rFonts w:eastAsiaTheme="minorEastAsia" w:hint="eastAsia"/>
                <w:lang w:eastAsia="zh-CN"/>
              </w:rPr>
            </w:pPr>
            <w:r>
              <w:rPr>
                <w:rFonts w:eastAsiaTheme="minorEastAsia"/>
                <w:lang w:eastAsia="zh-CN"/>
              </w:rPr>
              <w:t>No additional enhancement for Rel-16</w:t>
            </w:r>
          </w:p>
        </w:tc>
      </w:tr>
    </w:tbl>
    <w:p w14:paraId="4C8A1B2B" w14:textId="77777777" w:rsidR="00D236F4"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TableGrid"/>
        <w:tblW w:w="0" w:type="auto"/>
        <w:tblInd w:w="-5" w:type="dxa"/>
        <w:tblLook w:val="04A0" w:firstRow="1" w:lastRow="0" w:firstColumn="1" w:lastColumn="0" w:noHBand="0" w:noVBand="1"/>
      </w:tblPr>
      <w:tblGrid>
        <w:gridCol w:w="1276"/>
        <w:gridCol w:w="1134"/>
        <w:gridCol w:w="7226"/>
      </w:tblGrid>
      <w:tr w:rsidR="00D236F4" w14:paraId="506AB1C2" w14:textId="77777777" w:rsidTr="002B5C74">
        <w:tc>
          <w:tcPr>
            <w:tcW w:w="1276" w:type="dxa"/>
          </w:tcPr>
          <w:p w14:paraId="08149850" w14:textId="77777777" w:rsidR="00D236F4" w:rsidRPr="007639F2" w:rsidRDefault="00D236F4" w:rsidP="002B5C74">
            <w:pPr>
              <w:spacing w:before="120" w:after="120"/>
              <w:rPr>
                <w:b/>
                <w:bCs/>
              </w:rPr>
            </w:pPr>
            <w:r w:rsidRPr="007639F2">
              <w:rPr>
                <w:b/>
                <w:bCs/>
              </w:rPr>
              <w:t>Company</w:t>
            </w:r>
          </w:p>
        </w:tc>
        <w:tc>
          <w:tcPr>
            <w:tcW w:w="1134" w:type="dxa"/>
          </w:tcPr>
          <w:p w14:paraId="1923EC4A" w14:textId="77777777" w:rsidR="00D236F4" w:rsidRPr="007639F2" w:rsidRDefault="00D236F4" w:rsidP="002B5C74">
            <w:pPr>
              <w:spacing w:before="120" w:after="120"/>
              <w:rPr>
                <w:b/>
                <w:bCs/>
              </w:rPr>
            </w:pPr>
            <w:r>
              <w:rPr>
                <w:b/>
                <w:bCs/>
              </w:rPr>
              <w:t>Yes/No</w:t>
            </w:r>
          </w:p>
        </w:tc>
        <w:tc>
          <w:tcPr>
            <w:tcW w:w="7226"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2B5C74">
        <w:tc>
          <w:tcPr>
            <w:tcW w:w="1276" w:type="dxa"/>
          </w:tcPr>
          <w:p w14:paraId="28324070" w14:textId="5B9CCD74" w:rsidR="00D236F4" w:rsidRDefault="0014290B" w:rsidP="002B5C74">
            <w:pPr>
              <w:spacing w:before="120" w:after="120"/>
            </w:pPr>
            <w:r>
              <w:t>MTK</w:t>
            </w:r>
          </w:p>
        </w:tc>
        <w:tc>
          <w:tcPr>
            <w:tcW w:w="1134" w:type="dxa"/>
          </w:tcPr>
          <w:p w14:paraId="2ADEBDD0" w14:textId="2982B069" w:rsidR="00D236F4" w:rsidRDefault="0014290B" w:rsidP="002B5C74">
            <w:pPr>
              <w:spacing w:before="120" w:after="120"/>
            </w:pPr>
            <w:r>
              <w:t>Yes</w:t>
            </w:r>
          </w:p>
        </w:tc>
        <w:tc>
          <w:tcPr>
            <w:tcW w:w="7226" w:type="dxa"/>
          </w:tcPr>
          <w:p w14:paraId="3E24A616" w14:textId="15B67ABF" w:rsidR="00D236F4" w:rsidRDefault="0014290B" w:rsidP="002B5C74">
            <w:pPr>
              <w:spacing w:before="120" w:after="120"/>
            </w:pPr>
            <w:r>
              <w:t>It should be up to RAN2.</w:t>
            </w:r>
          </w:p>
        </w:tc>
      </w:tr>
      <w:tr w:rsidR="00D236F4" w14:paraId="22100BBF" w14:textId="77777777" w:rsidTr="002B5C74">
        <w:tc>
          <w:tcPr>
            <w:tcW w:w="1276"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2B5C74">
        <w:tc>
          <w:tcPr>
            <w:tcW w:w="1276" w:type="dxa"/>
          </w:tcPr>
          <w:p w14:paraId="5C9F6F28" w14:textId="54BC24C9" w:rsidR="00D236F4" w:rsidRDefault="00EC6BCE" w:rsidP="002B5C74">
            <w:pPr>
              <w:spacing w:before="120" w:after="120"/>
            </w:pPr>
            <w:r>
              <w:t>Nokia</w:t>
            </w:r>
          </w:p>
        </w:tc>
        <w:tc>
          <w:tcPr>
            <w:tcW w:w="1134" w:type="dxa"/>
          </w:tcPr>
          <w:p w14:paraId="6B784A63" w14:textId="73044CF0" w:rsidR="00D236F4" w:rsidRDefault="00EC6BCE" w:rsidP="002B5C74">
            <w:pPr>
              <w:spacing w:before="120" w:after="120"/>
            </w:pPr>
            <w:r>
              <w:t>Yes</w:t>
            </w:r>
          </w:p>
        </w:tc>
        <w:tc>
          <w:tcPr>
            <w:tcW w:w="7226" w:type="dxa"/>
          </w:tcPr>
          <w:p w14:paraId="00CAB7A6" w14:textId="341A2AB6" w:rsidR="00D236F4" w:rsidRDefault="00EC6BCE" w:rsidP="002B5C74">
            <w:pPr>
              <w:spacing w:before="120" w:after="120"/>
            </w:pPr>
            <w:r>
              <w:t xml:space="preserve">RAN2 can decide if they believe something is needed, but in our </w:t>
            </w:r>
            <w:proofErr w:type="gramStart"/>
            <w:r>
              <w:t>view</w:t>
            </w:r>
            <w:proofErr w:type="gramEnd"/>
            <w:r>
              <w:t xml:space="preserve"> it is important to inform RAN2 in addition to RAN4 of the somewhat misleading understanding conveyed in the RAN4 LS. A suggestion for this with the corresponding RAN1 spec references is in </w:t>
            </w:r>
            <w:hyperlink r:id="rId13" w:history="1">
              <w:r w:rsidRPr="00EC6BCE">
                <w:rPr>
                  <w:rStyle w:val="Hyperlink"/>
                </w:rPr>
                <w:t>R1-210</w:t>
              </w:r>
              <w:r>
                <w:rPr>
                  <w:rStyle w:val="Hyperlink"/>
                </w:rPr>
                <w:t>0</w:t>
              </w:r>
              <w:r w:rsidRPr="00EC6BCE">
                <w:rPr>
                  <w:rStyle w:val="Hyperlink"/>
                </w:rPr>
                <w:t>502</w:t>
              </w:r>
            </w:hyperlink>
          </w:p>
        </w:tc>
      </w:tr>
      <w:tr w:rsidR="00D236F4" w14:paraId="6C11E7C7" w14:textId="77777777" w:rsidTr="002B5C74">
        <w:tc>
          <w:tcPr>
            <w:tcW w:w="1276" w:type="dxa"/>
          </w:tcPr>
          <w:p w14:paraId="5A1F0067" w14:textId="21914E2A" w:rsidR="00D236F4" w:rsidRDefault="00D9037E" w:rsidP="002B5C74">
            <w:pPr>
              <w:spacing w:before="120" w:after="120"/>
            </w:pPr>
            <w:r>
              <w:t>Qualcomm</w:t>
            </w:r>
          </w:p>
        </w:tc>
        <w:tc>
          <w:tcPr>
            <w:tcW w:w="1134" w:type="dxa"/>
          </w:tcPr>
          <w:p w14:paraId="725F468F" w14:textId="53F2FB24" w:rsidR="00D236F4" w:rsidRDefault="00D9037E" w:rsidP="002B5C74">
            <w:pPr>
              <w:spacing w:before="120" w:after="120"/>
            </w:pPr>
            <w:r>
              <w:t>Yes</w:t>
            </w:r>
          </w:p>
        </w:tc>
        <w:tc>
          <w:tcPr>
            <w:tcW w:w="7226"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2B5C74">
        <w:tc>
          <w:tcPr>
            <w:tcW w:w="1276"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34"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2B5C74">
        <w:tc>
          <w:tcPr>
            <w:tcW w:w="1276" w:type="dxa"/>
          </w:tcPr>
          <w:p w14:paraId="14BF8DE0" w14:textId="542F9567" w:rsidR="00D64038" w:rsidRDefault="00D64038" w:rsidP="002B5C74">
            <w:pPr>
              <w:spacing w:before="120" w:after="120"/>
              <w:rPr>
                <w:rFonts w:eastAsiaTheme="minorEastAsia" w:hint="eastAsia"/>
                <w:lang w:eastAsia="zh-CN"/>
              </w:rPr>
            </w:pPr>
            <w:r>
              <w:rPr>
                <w:rFonts w:eastAsiaTheme="minorEastAsia"/>
                <w:lang w:eastAsia="zh-CN"/>
              </w:rPr>
              <w:t>CATT</w:t>
            </w:r>
          </w:p>
        </w:tc>
        <w:tc>
          <w:tcPr>
            <w:tcW w:w="1134" w:type="dxa"/>
          </w:tcPr>
          <w:p w14:paraId="13B276F6" w14:textId="6C156906" w:rsidR="00D64038" w:rsidRDefault="00D64038" w:rsidP="002B5C74">
            <w:pPr>
              <w:spacing w:before="120" w:after="120"/>
              <w:rPr>
                <w:rFonts w:eastAsiaTheme="minorEastAsia" w:hint="eastAsia"/>
                <w:lang w:eastAsia="zh-CN"/>
              </w:rPr>
            </w:pPr>
            <w:r>
              <w:rPr>
                <w:rFonts w:eastAsiaTheme="minorEastAsia"/>
                <w:lang w:eastAsia="zh-CN"/>
              </w:rPr>
              <w:t>Yes</w:t>
            </w:r>
          </w:p>
        </w:tc>
        <w:tc>
          <w:tcPr>
            <w:tcW w:w="7226" w:type="dxa"/>
          </w:tcPr>
          <w:p w14:paraId="408A71C4" w14:textId="0DC096BF" w:rsidR="00D64038" w:rsidRDefault="00D64038" w:rsidP="002B5C74">
            <w:pPr>
              <w:spacing w:before="120" w:after="120"/>
              <w:rPr>
                <w:rFonts w:eastAsiaTheme="minorEastAsia" w:hint="eastAsia"/>
                <w:lang w:eastAsia="zh-CN"/>
              </w:rPr>
            </w:pPr>
            <w:r>
              <w:rPr>
                <w:rFonts w:eastAsiaTheme="minorEastAsia"/>
                <w:lang w:eastAsia="zh-CN"/>
              </w:rPr>
              <w:t xml:space="preserve">It is up to RAN2 </w:t>
            </w:r>
          </w:p>
        </w:tc>
      </w:tr>
    </w:tbl>
    <w:p w14:paraId="35AF49B8" w14:textId="77777777" w:rsidR="00D236F4" w:rsidRDefault="00D236F4" w:rsidP="00EA43C0">
      <w:pPr>
        <w:spacing w:before="120" w:after="120"/>
      </w:pPr>
    </w:p>
    <w:p w14:paraId="22C9C924" w14:textId="77777777" w:rsidR="00AA1F04" w:rsidRDefault="00AA1F04" w:rsidP="00EA43C0">
      <w:pPr>
        <w:spacing w:before="120" w:after="120"/>
      </w:pPr>
    </w:p>
    <w:bookmarkEnd w:id="2"/>
    <w:p w14:paraId="1169CA6F" w14:textId="27F72D8C"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34AB2">
        <w:t>29-Jan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3" w:name="_Hlk500953403"/>
      <w:r>
        <w:t xml:space="preserve">If </w:t>
      </w:r>
      <w:proofErr w:type="spellStart"/>
      <w:r>
        <w:rPr>
          <w:i/>
        </w:rPr>
        <w:t>tci-PresentInDCI</w:t>
      </w:r>
      <w:proofErr w:type="spellEnd"/>
      <w:r>
        <w:rPr>
          <w:i/>
        </w:rPr>
        <w:t xml:space="preserve">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proofErr w:type="spellStart"/>
      <w:r>
        <w:rPr>
          <w:i/>
          <w:color w:val="000000"/>
        </w:rPr>
        <w:t>timeDurationForQCL</w:t>
      </w:r>
      <w:proofErr w:type="spellEnd"/>
      <w:r>
        <w:rPr>
          <w:i/>
          <w:color w:val="000000"/>
        </w:rPr>
        <w:t xml:space="preserve">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with respect to 'QCL-</w:t>
      </w:r>
      <w:proofErr w:type="spellStart"/>
      <w:r>
        <w:rPr>
          <w:color w:val="000000"/>
        </w:rPr>
        <w:t>TypeA</w:t>
      </w:r>
      <w:proofErr w:type="spellEnd"/>
      <w:r>
        <w:rPr>
          <w:color w:val="000000"/>
        </w:rPr>
        <w:t xml:space="preserve">', and when applicable, also with respect </w:t>
      </w:r>
      <w:proofErr w:type="spellStart"/>
      <w:r>
        <w:rPr>
          <w:color w:val="000000"/>
        </w:rPr>
        <w:t>to'QCL-TypeD</w:t>
      </w:r>
      <w:proofErr w:type="spellEnd"/>
      <w:r>
        <w:rPr>
          <w:color w:val="000000"/>
        </w:rPr>
        <w:t xml:space="preserve">'. </w:t>
      </w:r>
      <w:bookmarkEnd w:id="3"/>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ListParagraph"/>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lastRenderedPageBreak/>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Hyperlink"/>
          </w:rPr>
          <w:t>TS38.214</w:t>
        </w:r>
      </w:hyperlink>
      <w:r>
        <w:t xml:space="preserve"> and </w:t>
      </w:r>
      <w:hyperlink r:id="rId15" w:history="1">
        <w:r>
          <w:rPr>
            <w:rStyle w:val="Hyperlink"/>
          </w:rPr>
          <w:t>TS38.213</w:t>
        </w:r>
      </w:hyperlink>
      <w:r>
        <w:t xml:space="preserve"> as follows:</w:t>
      </w:r>
    </w:p>
    <w:p w14:paraId="5175DD0A"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proofErr w:type="spellStart"/>
      <w:r>
        <w:rPr>
          <w:i/>
          <w:iCs/>
          <w:lang w:val="en-US"/>
        </w:rPr>
        <w:t>controlResourceSetId</w:t>
      </w:r>
      <w:proofErr w:type="spellEnd"/>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ListParagraph"/>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 xml:space="preserve">On TCI state indication for </w:t>
      </w:r>
      <w:proofErr w:type="spellStart"/>
      <w:r w:rsidR="001A72DB" w:rsidRPr="001A72DB">
        <w:t>SCells</w:t>
      </w:r>
      <w:proofErr w:type="spellEnd"/>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Discussion on TCI state indication at Direct SCell activation</w:t>
      </w:r>
      <w:r>
        <w:t xml:space="preserve">, </w:t>
      </w:r>
      <w:r w:rsidRPr="006229F4">
        <w:t xml:space="preserve">Huawei, </w:t>
      </w:r>
      <w:proofErr w:type="spellStart"/>
      <w:r w:rsidRPr="006229F4">
        <w:t>HiSilicon</w:t>
      </w:r>
      <w:proofErr w:type="spellEnd"/>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B4E3" w14:textId="77777777" w:rsidR="0025091F" w:rsidRDefault="0025091F">
      <w:r>
        <w:separator/>
      </w:r>
    </w:p>
  </w:endnote>
  <w:endnote w:type="continuationSeparator" w:id="0">
    <w:p w14:paraId="672B3BBF" w14:textId="77777777" w:rsidR="0025091F" w:rsidRDefault="0025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C7558" w14:textId="77777777" w:rsidR="0025091F" w:rsidRDefault="0025091F">
      <w:r>
        <w:separator/>
      </w:r>
    </w:p>
  </w:footnote>
  <w:footnote w:type="continuationSeparator" w:id="0">
    <w:p w14:paraId="22EE6EEE" w14:textId="77777777" w:rsidR="0025091F" w:rsidRDefault="0025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character" w:styleId="UnresolvedMention">
    <w:name w:val="Unresolved Mention"/>
    <w:basedOn w:val="DefaultParagraphFont"/>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336B2-4F20-4C72-B131-657A62C90ED1}">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4</Pages>
  <Words>1629</Words>
  <Characters>9288</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10896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Fang-Chen Cheng</cp:lastModifiedBy>
  <cp:revision>2</cp:revision>
  <cp:lastPrinted>2013-05-13T15:37:00Z</cp:lastPrinted>
  <dcterms:created xsi:type="dcterms:W3CDTF">2021-01-26T23:33:00Z</dcterms:created>
  <dcterms:modified xsi:type="dcterms:W3CDTF">2021-01-26T23:33:00Z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