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rPr>
          <w:bCs/>
          <w:sz w:val="24"/>
          <w:szCs w:val="24"/>
        </w:rPr>
      </w:pPr>
      <w:r>
        <w:rPr>
          <w:bCs/>
          <w:sz w:val="24"/>
          <w:szCs w:val="24"/>
        </w:rPr>
        <w:t>3GPP TSG RAN WG1 #104-e</w:t>
      </w:r>
      <w:r>
        <w:rPr>
          <w:bCs/>
          <w:sz w:val="24"/>
          <w:szCs w:val="24"/>
        </w:rPr>
        <w:tab/>
      </w:r>
      <w:r>
        <w:rPr>
          <w:bCs/>
          <w:sz w:val="24"/>
          <w:szCs w:val="24"/>
        </w:rPr>
        <w:t>R1-21xxxxx</w:t>
      </w:r>
    </w:p>
    <w:p>
      <w:pPr>
        <w:pStyle w:val="39"/>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pPr>
        <w:pStyle w:val="39"/>
        <w:rPr>
          <w:bCs/>
          <w:sz w:val="24"/>
        </w:rPr>
      </w:pPr>
    </w:p>
    <w:p>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r>
      <w:r>
        <w:rPr>
          <w:rFonts w:ascii="Arial" w:hAnsi="Arial" w:cs="Arial"/>
          <w:b/>
          <w:bCs/>
          <w:sz w:val="24"/>
          <w:szCs w:val="24"/>
        </w:rPr>
        <w:t>7.1</w:t>
      </w:r>
    </w:p>
    <w:p>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ype="textWrapping"/>
      </w:r>
      <w:r>
        <w:rPr>
          <w:rFonts w:ascii="Arial" w:hAnsi="Arial" w:cs="Arial"/>
          <w:b/>
          <w:bCs/>
          <w:sz w:val="24"/>
        </w:rPr>
        <w:t xml:space="preserve">38.213 CR on DCI ordering in a search space </w:t>
      </w:r>
    </w:p>
    <w:p>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 and Decision</w:t>
      </w:r>
    </w:p>
    <w:p>
      <w:bookmarkStart w:id="1" w:name="_Ref178064866"/>
    </w:p>
    <w:p>
      <w:pPr>
        <w:pStyle w:val="2"/>
      </w:pPr>
      <w:bookmarkStart w:id="2" w:name="_Toc62031198"/>
      <w:r>
        <w:t>1</w:t>
      </w:r>
      <w:r>
        <w:tab/>
      </w:r>
      <w:bookmarkEnd w:id="1"/>
      <w:r>
        <w:t>Introduction</w:t>
      </w:r>
      <w:bookmarkEnd w:id="2"/>
    </w:p>
    <w:p>
      <w:pPr>
        <w:pStyle w:val="113"/>
        <w:tabs>
          <w:tab w:val="left" w:pos="1276"/>
          <w:tab w:val="clear" w:pos="1622"/>
        </w:tabs>
        <w:ind w:left="0" w:firstLine="0"/>
        <w:rPr>
          <w:lang w:val="en-GB"/>
        </w:rPr>
      </w:pPr>
      <w:r>
        <w:rPr>
          <w:lang w:val="en-GB"/>
        </w:rPr>
        <w:t xml:space="preserve">Draft CR </w:t>
      </w:r>
      <w:r>
        <w:fldChar w:fldCharType="begin"/>
      </w:r>
      <w:r>
        <w:instrText xml:space="preserve"> HYPERLINK "https://www.3gpp.org/ftp/tsg_ran/WG1_RL1/TSGR1_104-e/Docs/R1-2101134.zip" </w:instrText>
      </w:r>
      <w:r>
        <w:fldChar w:fldCharType="separate"/>
      </w:r>
      <w:r>
        <w:rPr>
          <w:rStyle w:val="58"/>
          <w:lang w:val="en-GB"/>
        </w:rPr>
        <w:t>R1-2101134</w:t>
      </w:r>
      <w:r>
        <w:rPr>
          <w:rStyle w:val="58"/>
          <w:lang w:val="en-GB"/>
        </w:rPr>
        <w:fldChar w:fldCharType="end"/>
      </w:r>
      <w:r>
        <w:rPr>
          <w:lang w:val="en-GB"/>
        </w:rPr>
        <w:t xml:space="preserve"> 38.213 CR on DCI ordering in a search space set, Nokia, Nokia Shanghai Bell noted that there are two possible interpretations in two parts of 38.213 related to how the DCI ordering is counted.</w:t>
      </w:r>
    </w:p>
    <w:p>
      <w:pPr>
        <w:pStyle w:val="113"/>
        <w:tabs>
          <w:tab w:val="left" w:pos="1276"/>
          <w:tab w:val="clear" w:pos="1622"/>
        </w:tabs>
        <w:ind w:left="0" w:firstLine="0"/>
        <w:rPr>
          <w:lang w:val="en-GB"/>
        </w:rPr>
      </w:pPr>
    </w:p>
    <w:p>
      <w:pPr>
        <w:pStyle w:val="111"/>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pPr>
        <w:pStyle w:val="111"/>
        <w:spacing w:after="0"/>
        <w:ind w:left="100"/>
      </w:pPr>
    </w:p>
    <w:p>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pPr>
        <w:pStyle w:val="113"/>
        <w:tabs>
          <w:tab w:val="left" w:pos="1276"/>
          <w:tab w:val="clear" w:pos="1622"/>
        </w:tabs>
        <w:ind w:left="0" w:firstLine="0"/>
        <w:rPr>
          <w:lang w:val="en-GB"/>
        </w:rPr>
      </w:pPr>
    </w:p>
    <w:p>
      <w:pPr>
        <w:pStyle w:val="113"/>
        <w:tabs>
          <w:tab w:val="left" w:pos="1276"/>
          <w:tab w:val="clear" w:pos="1622"/>
        </w:tabs>
        <w:ind w:left="0" w:firstLine="0"/>
        <w:rPr>
          <w:lang w:val="en-GB"/>
        </w:rPr>
      </w:pPr>
    </w:p>
    <w:p>
      <w:pPr>
        <w:pStyle w:val="111"/>
        <w:numPr>
          <w:ilvl w:val="0"/>
          <w:numId w:val="15"/>
        </w:numPr>
        <w:spacing w:after="0"/>
        <w:rPr>
          <w:lang w:eastAsia="en-US"/>
        </w:rPr>
      </w:pPr>
      <w:r>
        <w:t>When a UE configured with two CCs, it is not clear how the cDAI/tDAI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pPr>
        <w:pStyle w:val="111"/>
        <w:spacing w:after="0"/>
        <w:ind w:left="100"/>
      </w:pPr>
    </w:p>
    <w:p>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宋体" w:cs="Arial"/>
          <w:position w:val="-4"/>
          <w:lang w:eastAsia="zh-CN"/>
        </w:rPr>
        <w:object>
          <v:shape id="_x0000_i1025" o:spt="75" type="#_x0000_t75" style="height:12.1pt;width:14.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lang w:eastAsia="zh-CN"/>
        </w:rPr>
        <w:t xml:space="preserve"> of PDCCH monitoring occasions.</w:t>
      </w:r>
    </w:p>
    <w:p>
      <w:pPr>
        <w:pStyle w:val="111"/>
        <w:spacing w:after="0"/>
        <w:ind w:left="100"/>
        <w:rPr>
          <w:lang w:eastAsia="en-US"/>
        </w:rPr>
      </w:pPr>
    </w:p>
    <w:p>
      <w:pPr>
        <w:pStyle w:val="111"/>
        <w:spacing w:after="0"/>
        <w:ind w:left="100"/>
      </w:pPr>
    </w:p>
    <w:p>
      <w:pPr>
        <w:pStyle w:val="111"/>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pPr>
        <w:pStyle w:val="111"/>
        <w:spacing w:after="0"/>
        <w:ind w:left="100"/>
      </w:pPr>
      <w:r>
        <w:rPr>
          <w:lang w:val="en-US" w:eastAsia="zh-CN"/>
        </w:rPr>
        <w:drawing>
          <wp:inline distT="0" distB="0" distL="0" distR="0">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pPr>
        <w:pStyle w:val="111"/>
        <w:spacing w:after="0"/>
        <w:ind w:left="100"/>
      </w:pPr>
    </w:p>
    <w:p>
      <w:pPr>
        <w:pStyle w:val="111"/>
        <w:spacing w:after="0"/>
        <w:ind w:left="100"/>
        <w:rPr>
          <w:b/>
          <w:bCs/>
        </w:rPr>
      </w:pPr>
      <w:r>
        <w:rPr>
          <w:b/>
          <w:bCs/>
        </w:rPr>
        <w:t>Interpretation 2: The start time of the search space set is the symbol of the search space in which DCI is transmitted</w:t>
      </w:r>
    </w:p>
    <w:p>
      <w:pPr>
        <w:pStyle w:val="111"/>
        <w:spacing w:after="0"/>
        <w:ind w:left="100"/>
        <w:rPr>
          <w:b/>
          <w:bCs/>
        </w:rPr>
      </w:pPr>
      <w:r>
        <w:rPr>
          <w:lang w:val="en-US" w:eastAsia="zh-CN"/>
        </w:rPr>
        <w:drawing>
          <wp:inline distT="0" distB="0" distL="0" distR="0">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9"/>
                    <a:stretch>
                      <a:fillRect/>
                    </a:stretch>
                  </pic:blipFill>
                  <pic:spPr>
                    <a:xfrm>
                      <a:off x="0" y="0"/>
                      <a:ext cx="3979545" cy="1797050"/>
                    </a:xfrm>
                    <a:prstGeom prst="rect">
                      <a:avLst/>
                    </a:prstGeom>
                  </pic:spPr>
                </pic:pic>
              </a:graphicData>
            </a:graphic>
          </wp:inline>
        </w:drawing>
      </w:r>
    </w:p>
    <w:p>
      <w:pPr>
        <w:pStyle w:val="113"/>
        <w:tabs>
          <w:tab w:val="left" w:pos="1276"/>
          <w:tab w:val="clear" w:pos="1622"/>
        </w:tabs>
        <w:ind w:left="0" w:firstLine="0"/>
        <w:rPr>
          <w:lang w:val="en-GB"/>
        </w:rPr>
      </w:pPr>
    </w:p>
    <w:p>
      <w:pPr>
        <w:pStyle w:val="2"/>
      </w:pPr>
      <w:bookmarkStart w:id="3" w:name="_Toc62031199"/>
      <w:r>
        <w:rPr>
          <w:rStyle w:val="68"/>
        </w:rPr>
        <w:t>2</w:t>
      </w:r>
      <w:r>
        <w:rPr>
          <w:rStyle w:val="68"/>
        </w:rPr>
        <w:tab/>
      </w:r>
      <w:bookmarkEnd w:id="3"/>
      <w:r>
        <w:rPr>
          <w:rStyle w:val="68"/>
        </w:rPr>
        <w:t>Discussion</w:t>
      </w:r>
    </w:p>
    <w:p>
      <w:pPr>
        <w:pStyle w:val="2"/>
        <w:rPr>
          <w:rStyle w:val="124"/>
        </w:rPr>
      </w:pPr>
      <w:bookmarkStart w:id="4" w:name="_Toc62031202"/>
      <w:r>
        <w:rPr>
          <w:rStyle w:val="124"/>
        </w:rPr>
        <w:t>2.1</w:t>
      </w:r>
      <w:r>
        <w:rPr>
          <w:rStyle w:val="124"/>
        </w:rPr>
        <w:tab/>
      </w:r>
      <w:bookmarkEnd w:id="4"/>
      <w:r>
        <w:rPr>
          <w:rStyle w:val="124"/>
        </w:rPr>
        <w:t>Issue #1</w:t>
      </w:r>
    </w:p>
    <w:p>
      <w:r>
        <w:t>Possible interpretation 1: The word ‘previously’ refers to a previous set of search spaces (not counting symbol-wise), and the UE is expected to process both DCIs regardless of their order in time if they are in the same group of search spaces.</w:t>
      </w:r>
    </w:p>
    <w:p>
      <w:r>
        <w:t>Possible interpretation 2: The word ‘previously’ refers to any previous symbol, and the UE may drop the DCI scheduling the PDSCH unless gNB ensures that the PUSCH-scheduling DCI is in an overlapping or in a later symbol than the PDSCH-scheduling DCI.</w:t>
      </w:r>
    </w:p>
    <w:p>
      <w:r>
        <w:t>Possible actions:</w:t>
      </w:r>
    </w:p>
    <w:p>
      <w:pPr>
        <w:pStyle w:val="133"/>
        <w:numPr>
          <w:ilvl w:val="0"/>
          <w:numId w:val="16"/>
        </w:numPr>
        <w:rPr>
          <w:rFonts w:ascii="Times New Roman" w:hAnsi="Times New Roman"/>
          <w:sz w:val="20"/>
          <w:szCs w:val="20"/>
          <w:lang w:val="en-GB"/>
        </w:rPr>
      </w:pPr>
      <w:r>
        <w:rPr>
          <w:rFonts w:ascii="Times New Roman" w:hAnsi="Times New Roman"/>
          <w:sz w:val="20"/>
          <w:szCs w:val="20"/>
          <w:lang w:val="en-GB"/>
        </w:rPr>
        <w:t>Draft a CR</w:t>
      </w:r>
    </w:p>
    <w:p>
      <w:pPr>
        <w:pStyle w:val="133"/>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pPr>
        <w:pStyle w:val="133"/>
        <w:rPr>
          <w:rFonts w:ascii="Times New Roman" w:hAnsi="Times New Roman"/>
          <w:sz w:val="20"/>
          <w:szCs w:val="20"/>
          <w:lang w:val="en-GB"/>
        </w:rPr>
      </w:pPr>
    </w:p>
    <w:tbl>
      <w:tblPr>
        <w:tblStyle w:val="51"/>
        <w:tblW w:w="9776" w:type="dxa"/>
        <w:tblInd w:w="0" w:type="dxa"/>
        <w:tblLayout w:type="autofit"/>
        <w:tblCellMar>
          <w:top w:w="0" w:type="dxa"/>
          <w:left w:w="108" w:type="dxa"/>
          <w:bottom w:w="0" w:type="dxa"/>
          <w:right w:w="108" w:type="dxa"/>
        </w:tblCellMar>
      </w:tblPr>
      <w:tblGrid>
        <w:gridCol w:w="1838"/>
        <w:gridCol w:w="7938"/>
      </w:tblGrid>
      <w:tr>
        <w:tblPrEx>
          <w:tblCellMar>
            <w:top w:w="0" w:type="dxa"/>
            <w:left w:w="108" w:type="dxa"/>
            <w:bottom w:w="0" w:type="dxa"/>
            <w:right w:w="108" w:type="dxa"/>
          </w:tblCellMar>
        </w:tblPrEx>
        <w:trPr>
          <w:trHeight w:val="348" w:hRule="atLeast"/>
        </w:trPr>
        <w:tc>
          <w:tcPr>
            <w:tcW w:w="1838"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22"/>
                <w:szCs w:val="22"/>
                <w:lang w:val="en-US" w:eastAsia="en-US"/>
              </w:rPr>
            </w:pPr>
            <w:r>
              <w:rPr>
                <w:rFonts w:ascii="Arial" w:hAnsi="Arial" w:eastAsia="Times New Roman" w:cs="Arial"/>
                <w:b/>
                <w:bCs/>
                <w:color w:val="FFFFFF"/>
                <w:sz w:val="22"/>
                <w:szCs w:val="22"/>
                <w:lang w:val="en-US" w:eastAsia="en-US"/>
              </w:rPr>
              <w:t>Company</w:t>
            </w:r>
          </w:p>
        </w:tc>
        <w:tc>
          <w:tcPr>
            <w:tcW w:w="7938"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22"/>
                <w:szCs w:val="22"/>
                <w:lang w:val="en-US" w:eastAsia="en-US"/>
              </w:rPr>
            </w:pPr>
            <w:r>
              <w:rPr>
                <w:rFonts w:ascii="Arial" w:hAnsi="Arial" w:eastAsia="Times New Roman" w:cs="Arial"/>
                <w:b/>
                <w:bCs/>
                <w:color w:val="FFFFFF"/>
                <w:sz w:val="22"/>
                <w:szCs w:val="22"/>
                <w:lang w:val="en-US" w:eastAsia="en-US"/>
              </w:rPr>
              <w:t>Comment</w:t>
            </w: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textAlignment w:val="auto"/>
              <w:rPr>
                <w:color w:val="0563C1"/>
                <w:u w:val="single"/>
              </w:rPr>
            </w:pPr>
            <w:r>
              <w:rPr>
                <w:rFonts w:ascii="Arial" w:hAnsi="Arial" w:eastAsia="Times New Roman" w:cs="Arial"/>
                <w:lang w:val="en-US" w:eastAsia="en-US"/>
              </w:rPr>
              <w:t>Nokia, NSB</w:t>
            </w:r>
          </w:p>
        </w:tc>
        <w:tc>
          <w:tcPr>
            <w:tcW w:w="793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b/>
                <w:bCs/>
                <w:lang w:val="en-US" w:eastAsia="en-US"/>
              </w:rPr>
              <w:t>Interpretation 1:</w:t>
            </w:r>
            <w:r>
              <w:rPr>
                <w:rFonts w:ascii="Arial" w:hAnsi="Arial" w:eastAsia="Times New Roman" w:cs="Arial"/>
                <w:lang w:val="en-US" w:eastAsia="en-US"/>
              </w:rPr>
              <w:t xml:space="preserve"> The previously should refer to an earlier set of search spaces.</w:t>
            </w:r>
          </w:p>
          <w:p>
            <w:pPr>
              <w:overflowPunct/>
              <w:autoSpaceDE/>
              <w:autoSpaceDN/>
              <w:adjustRightInd/>
              <w:textAlignment w:val="auto"/>
              <w:rPr>
                <w:rFonts w:ascii="Arial" w:hAnsi="Arial" w:eastAsia="Times New Roman" w:cs="Arial"/>
                <w:lang w:val="en-US" w:eastAsia="en-US"/>
              </w:rPr>
            </w:pPr>
            <w:r>
              <w:rPr>
                <w:rFonts w:ascii="Arial" w:hAnsi="Arial" w:eastAsia="Times New Roman" w:cs="Arial"/>
                <w:b/>
                <w:bCs/>
                <w:lang w:val="en-US" w:eastAsia="en-US"/>
              </w:rPr>
              <w:t>Action a):</w:t>
            </w:r>
            <w:r>
              <w:rPr>
                <w:rFonts w:ascii="Arial" w:hAnsi="Arial" w:eastAsia="Times New Roman" w:cs="Arial"/>
                <w:lang w:val="en-US" w:eastAsia="en-US"/>
              </w:rPr>
              <w:t xml:space="preserve"> a CR should be drafted and agreed together with issue #2</w:t>
            </w: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textAlignment w:val="auto"/>
              <w:rPr>
                <w:rFonts w:ascii="Arial" w:hAnsi="Arial" w:eastAsia="Times New Roman" w:cs="Arial"/>
                <w:lang w:val="en-US" w:eastAsia="zh-CN"/>
              </w:rPr>
            </w:pPr>
            <w:r>
              <w:rPr>
                <w:rFonts w:hint="eastAsia" w:ascii="Arial" w:hAnsi="Arial" w:eastAsia="Times New Roman" w:cs="Arial"/>
                <w:lang w:val="en-US" w:eastAsia="zh-CN"/>
              </w:rPr>
              <w:t>CATT</w:t>
            </w:r>
          </w:p>
        </w:tc>
        <w:tc>
          <w:tcPr>
            <w:tcW w:w="793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textAlignment w:val="auto"/>
              <w:rPr>
                <w:rFonts w:ascii="Arial" w:hAnsi="Arial" w:eastAsia="Times New Roman" w:cs="Arial"/>
                <w:lang w:val="en-US" w:eastAsia="zh-CN"/>
              </w:rPr>
            </w:pPr>
            <w:r>
              <w:rPr>
                <w:rFonts w:hint="eastAsia" w:ascii="Arial" w:hAnsi="Arial" w:eastAsia="Times New Roman" w:cs="Arial"/>
                <w:lang w:val="en-US" w:eastAsia="zh-CN"/>
              </w:rPr>
              <w:t xml:space="preserve">We have a different understanding on the </w:t>
            </w:r>
            <w:r>
              <w:rPr>
                <w:rFonts w:ascii="Arial" w:hAnsi="Arial" w:eastAsia="Times New Roman" w:cs="Arial"/>
                <w:lang w:val="en-US" w:eastAsia="zh-CN"/>
              </w:rPr>
              <w:t>definition</w:t>
            </w:r>
            <w:r>
              <w:rPr>
                <w:rFonts w:hint="eastAsia" w:ascii="Arial" w:hAnsi="Arial" w:eastAsia="Times New Roman" w:cs="Arial"/>
                <w:lang w:val="en-US" w:eastAsia="zh-CN"/>
              </w:rPr>
              <w:t xml:space="preserve"> of search space set. For the case w</w:t>
            </w:r>
            <w:r>
              <w:rPr>
                <w:rFonts w:ascii="Arial" w:hAnsi="Arial" w:eastAsia="Times New Roman" w:cs="Arial"/>
                <w:lang w:val="en-US" w:eastAsia="zh-CN"/>
              </w:rPr>
              <w:t xml:space="preserve">hen UE is configured </w:t>
            </w:r>
            <w:r>
              <w:rPr>
                <w:rFonts w:hint="eastAsia" w:ascii="Arial" w:hAnsi="Arial" w:eastAsia="Times New Roman" w:cs="Arial"/>
                <w:lang w:val="en-US" w:eastAsia="zh-CN"/>
              </w:rPr>
              <w:t xml:space="preserve">with a search space associated </w:t>
            </w:r>
            <w:r>
              <w:rPr>
                <w:rFonts w:ascii="Arial" w:hAnsi="Arial" w:eastAsia="Times New Roman" w:cs="Arial"/>
                <w:lang w:val="en-US" w:eastAsia="zh-CN"/>
              </w:rPr>
              <w:t xml:space="preserve">with 1-symbol CORESET </w:t>
            </w:r>
            <w:r>
              <w:rPr>
                <w:rFonts w:hint="eastAsia" w:ascii="Arial" w:hAnsi="Arial" w:eastAsia="Times New Roman" w:cs="Arial"/>
                <w:lang w:val="en-US" w:eastAsia="zh-CN"/>
              </w:rPr>
              <w:t>and configured to monitor PDCCH in the</w:t>
            </w:r>
            <w:r>
              <w:rPr>
                <w:rFonts w:ascii="Arial" w:hAnsi="Arial" w:eastAsia="Times New Roman" w:cs="Arial"/>
                <w:lang w:val="en-US" w:eastAsia="zh-CN"/>
              </w:rPr>
              <w:t xml:space="preserve"> fi</w:t>
            </w:r>
            <w:r>
              <w:rPr>
                <w:rFonts w:hint="eastAsia" w:ascii="Arial" w:hAnsi="Arial" w:eastAsia="Times New Roman" w:cs="Arial"/>
                <w:lang w:val="en-US" w:eastAsia="zh-CN"/>
              </w:rPr>
              <w:t>r</w:t>
            </w:r>
            <w:r>
              <w:rPr>
                <w:rFonts w:ascii="Arial" w:hAnsi="Arial" w:eastAsia="Times New Roman" w:cs="Arial"/>
                <w:lang w:val="en-US" w:eastAsia="zh-CN"/>
              </w:rPr>
              <w:t>st 3 symbols in a slot</w:t>
            </w:r>
            <w:r>
              <w:rPr>
                <w:rFonts w:hint="eastAsia" w:ascii="Arial" w:hAnsi="Arial" w:eastAsia="Times New Roman" w:cs="Arial"/>
                <w:lang w:val="en-US" w:eastAsia="zh-CN"/>
              </w:rPr>
              <w:t>, they are three search space sets instead of one according to our understanding. With this understanding, we do not see any issue here.</w:t>
            </w: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Apple </w:t>
            </w:r>
          </w:p>
        </w:tc>
        <w:tc>
          <w:tcPr>
            <w:tcW w:w="793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b/>
                <w:bCs/>
                <w:lang w:val="en-US" w:eastAsia="en-US"/>
              </w:rPr>
              <w:t>Interpretation 2.</w:t>
            </w:r>
            <w:r>
              <w:rPr>
                <w:rFonts w:ascii="Arial" w:hAnsi="Arial" w:eastAsia="Times New Roman" w:cs="Arial"/>
                <w:lang w:val="en-US" w:eastAsia="en-US"/>
              </w:rPr>
              <w:t xml:space="preserve"> </w:t>
            </w: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We do not see the need of CR. </w:t>
            </w:r>
          </w:p>
          <w:p>
            <w:pPr>
              <w:overflowPunct/>
              <w:autoSpaceDE/>
              <w:autoSpaceDN/>
              <w:adjustRightInd/>
              <w:spacing w:after="0"/>
              <w:textAlignment w:val="auto"/>
              <w:rPr>
                <w:rFonts w:ascii="Arial" w:hAnsi="Arial" w:eastAsia="Times New Roman" w:cs="Arial"/>
                <w:lang w:val="en-US" w:eastAsia="en-US"/>
              </w:rPr>
            </w:pP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07" w:type="dxa"/>
                </w:tcPr>
                <w:p>
                  <w:pPr>
                    <w:rPr>
                      <w:rFonts w:eastAsia="Calibri"/>
                      <w:sz w:val="22"/>
                      <w:szCs w:val="20"/>
                      <w:lang w:val="de-DE"/>
                    </w:rPr>
                  </w:pPr>
                  <w:r>
                    <w:rPr>
                      <w:rFonts w:eastAsia="Calibri"/>
                      <w:sz w:val="22"/>
                      <w:szCs w:val="20"/>
                      <w:highlight w:val="green"/>
                      <w:lang w:val="de-DE"/>
                    </w:rPr>
                    <w:t>Agreements</w:t>
                  </w:r>
                  <w:r>
                    <w:rPr>
                      <w:rFonts w:eastAsia="Calibri"/>
                      <w:sz w:val="22"/>
                      <w:szCs w:val="20"/>
                      <w:lang w:val="de-DE"/>
                    </w:rPr>
                    <w:t>:</w:t>
                  </w:r>
                </w:p>
                <w:p>
                  <w:pPr>
                    <w:numPr>
                      <w:ilvl w:val="0"/>
                      <w:numId w:val="17"/>
                    </w:numPr>
                    <w:overflowPunct/>
                    <w:autoSpaceDE/>
                    <w:autoSpaceDN/>
                    <w:adjustRightInd/>
                    <w:spacing w:after="0"/>
                    <w:textAlignment w:val="auto"/>
                    <w:rPr>
                      <w:rFonts w:eastAsia="Calibri"/>
                      <w:sz w:val="22"/>
                      <w:szCs w:val="20"/>
                      <w:lang w:val="de-DE"/>
                    </w:rPr>
                  </w:pPr>
                  <w:r>
                    <w:rPr>
                      <w:rFonts w:eastAsia="Calibri"/>
                      <w:sz w:val="22"/>
                      <w:szCs w:val="20"/>
                      <w:lang w:val="de-DE"/>
                    </w:rPr>
                    <w:t>Regarding hanlding the possibility of DL assignments later than UL grant, to down-select between:</w:t>
                  </w:r>
                </w:p>
                <w:p>
                  <w:pPr>
                    <w:numPr>
                      <w:ilvl w:val="1"/>
                      <w:numId w:val="17"/>
                    </w:numPr>
                    <w:overflowPunct/>
                    <w:autoSpaceDE/>
                    <w:autoSpaceDN/>
                    <w:adjustRightInd/>
                    <w:spacing w:after="0"/>
                    <w:textAlignment w:val="auto"/>
                    <w:rPr>
                      <w:rFonts w:eastAsia="Calibri"/>
                      <w:sz w:val="22"/>
                      <w:szCs w:val="20"/>
                      <w:lang w:val="de-DE"/>
                    </w:rPr>
                  </w:pPr>
                  <w:r>
                    <w:rPr>
                      <w:rFonts w:eastAsia="Calibri"/>
                      <w:sz w:val="22"/>
                      <w:szCs w:val="20"/>
                      <w:lang w:val="de-DE"/>
                    </w:rPr>
                    <w:t>Alt 1: Limit to up to X ACK bits for later DL assignments. ACK bits for later DL assignments puncture PUSCH</w:t>
                  </w:r>
                </w:p>
                <w:p>
                  <w:pPr>
                    <w:numPr>
                      <w:ilvl w:val="2"/>
                      <w:numId w:val="17"/>
                    </w:numPr>
                    <w:overflowPunct/>
                    <w:autoSpaceDE/>
                    <w:autoSpaceDN/>
                    <w:adjustRightInd/>
                    <w:spacing w:after="0"/>
                    <w:textAlignment w:val="auto"/>
                    <w:rPr>
                      <w:rFonts w:eastAsia="Calibri"/>
                      <w:sz w:val="22"/>
                      <w:szCs w:val="20"/>
                      <w:lang w:val="de-DE"/>
                    </w:rPr>
                  </w:pPr>
                  <w:r>
                    <w:rPr>
                      <w:rFonts w:eastAsia="Calibri"/>
                      <w:sz w:val="22"/>
                      <w:szCs w:val="20"/>
                      <w:lang w:val="de-DE"/>
                    </w:rPr>
                    <w:t>X=2 for slot-based scheduling</w:t>
                  </w:r>
                </w:p>
                <w:p>
                  <w:pPr>
                    <w:numPr>
                      <w:ilvl w:val="2"/>
                      <w:numId w:val="17"/>
                    </w:numPr>
                    <w:overflowPunct/>
                    <w:autoSpaceDE/>
                    <w:autoSpaceDN/>
                    <w:adjustRightInd/>
                    <w:spacing w:after="0"/>
                    <w:textAlignment w:val="auto"/>
                    <w:rPr>
                      <w:rFonts w:eastAsia="Calibri"/>
                      <w:sz w:val="22"/>
                      <w:szCs w:val="20"/>
                      <w:lang w:val="de-DE"/>
                    </w:rPr>
                  </w:pPr>
                  <w:r>
                    <w:rPr>
                      <w:rFonts w:eastAsia="Calibri"/>
                      <w:sz w:val="22"/>
                      <w:szCs w:val="20"/>
                      <w:lang w:val="de-DE"/>
                    </w:rPr>
                    <w:t>FFS X for non-slot based scheduling</w:t>
                  </w:r>
                </w:p>
                <w:p>
                  <w:pPr>
                    <w:numPr>
                      <w:ilvl w:val="1"/>
                      <w:numId w:val="17"/>
                    </w:numPr>
                    <w:overflowPunct/>
                    <w:autoSpaceDE/>
                    <w:autoSpaceDN/>
                    <w:adjustRightInd/>
                    <w:spacing w:after="0"/>
                    <w:textAlignment w:val="auto"/>
                    <w:rPr>
                      <w:rFonts w:eastAsia="Calibri"/>
                      <w:sz w:val="22"/>
                      <w:szCs w:val="20"/>
                      <w:lang w:val="de-DE"/>
                    </w:rPr>
                  </w:pPr>
                  <w:r>
                    <w:rPr>
                      <w:rFonts w:eastAsia="Calibri"/>
                      <w:sz w:val="22"/>
                      <w:szCs w:val="20"/>
                      <w:lang w:val="de-DE"/>
                    </w:rPr>
                    <w:t xml:space="preserve">Alt 2: Uplink grant indicates number of ACK/NACK bits including past and estimated future DL assignments. UE computes ACK/NACK resources based on indicated number of ACK/NACK bits </w:t>
                  </w:r>
                </w:p>
                <w:p>
                  <w:pPr>
                    <w:numPr>
                      <w:ilvl w:val="2"/>
                      <w:numId w:val="17"/>
                    </w:numPr>
                    <w:overflowPunct/>
                    <w:autoSpaceDE/>
                    <w:autoSpaceDN/>
                    <w:adjustRightInd/>
                    <w:spacing w:after="0"/>
                    <w:textAlignment w:val="auto"/>
                    <w:rPr>
                      <w:rFonts w:eastAsia="Calibri"/>
                      <w:sz w:val="22"/>
                      <w:szCs w:val="20"/>
                      <w:lang w:val="de-DE"/>
                    </w:rPr>
                  </w:pPr>
                  <w:r>
                    <w:rPr>
                      <w:rFonts w:eastAsia="Calibri"/>
                      <w:sz w:val="22"/>
                      <w:szCs w:val="20"/>
                      <w:lang w:val="de-DE"/>
                    </w:rPr>
                    <w:t>FFS other details</w:t>
                  </w:r>
                </w:p>
                <w:p>
                  <w:pPr>
                    <w:numPr>
                      <w:ilvl w:val="0"/>
                      <w:numId w:val="17"/>
                    </w:numPr>
                    <w:overflowPunct/>
                    <w:autoSpaceDE/>
                    <w:autoSpaceDN/>
                    <w:adjustRightInd/>
                    <w:spacing w:after="0"/>
                    <w:textAlignment w:val="auto"/>
                    <w:rPr>
                      <w:rFonts w:eastAsia="Calibri"/>
                      <w:sz w:val="22"/>
                      <w:szCs w:val="20"/>
                      <w:lang w:val="de-DE"/>
                    </w:rPr>
                  </w:pPr>
                  <w:r>
                    <w:rPr>
                      <w:rFonts w:eastAsia="Calibri"/>
                      <w:sz w:val="22"/>
                      <w:szCs w:val="20"/>
                      <w:lang w:val="de-DE"/>
                    </w:rPr>
                    <w:t>If no consensus can be achieved by the end of this week, the following will be agreed:</w:t>
                  </w:r>
                </w:p>
                <w:p>
                  <w:pPr>
                    <w:numPr>
                      <w:ilvl w:val="1"/>
                      <w:numId w:val="17"/>
                    </w:numPr>
                    <w:overflowPunct/>
                    <w:autoSpaceDE/>
                    <w:autoSpaceDN/>
                    <w:adjustRightInd/>
                    <w:spacing w:after="0"/>
                    <w:textAlignment w:val="auto"/>
                    <w:rPr>
                      <w:rFonts w:eastAsia="Calibri"/>
                      <w:sz w:val="22"/>
                      <w:szCs w:val="20"/>
                      <w:lang w:val="de-DE"/>
                    </w:rPr>
                  </w:pPr>
                  <w:r>
                    <w:rPr>
                      <w:rFonts w:eastAsia="Calibri"/>
                      <w:sz w:val="22"/>
                      <w:szCs w:val="20"/>
                      <w:lang w:val="de-DE"/>
                    </w:rPr>
                    <w:t>In Rel-15, do not support the case when DL assignments are later than UL grant mapped to the same time instance for HARQ-ACK transmission on PUSCH</w:t>
                  </w:r>
                </w:p>
              </w:tc>
            </w:tr>
          </w:tbl>
          <w:p>
            <w:pPr>
              <w:overflowPunct/>
              <w:autoSpaceDE/>
              <w:autoSpaceDN/>
              <w:adjustRightInd/>
              <w:spacing w:after="0"/>
              <w:textAlignment w:val="auto"/>
              <w:rPr>
                <w:rFonts w:ascii="Arial" w:hAnsi="Arial" w:eastAsia="Times New Roman" w:cs="Arial"/>
                <w:lang w:val="en-US" w:eastAsia="en-US"/>
              </w:rPr>
            </w:pP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Referring to the agreement and taking into the debating point, Interpretation #2 should be the intended behavior regardless of later DL grant comes from a same or different search space set. </w:t>
            </w:r>
          </w:p>
          <w:p>
            <w:pPr>
              <w:overflowPunct/>
              <w:autoSpaceDE/>
              <w:autoSpaceDN/>
              <w:adjustRightInd/>
              <w:spacing w:after="0"/>
              <w:textAlignment w:val="auto"/>
              <w:rPr>
                <w:rFonts w:ascii="Arial" w:hAnsi="Arial" w:eastAsia="Times New Roman" w:cs="Arial"/>
                <w:lang w:val="en-US" w:eastAsia="en-US"/>
              </w:rPr>
            </w:pP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6A6A6" w:sz="4" w:space="0"/>
              <w:bottom w:val="nil"/>
              <w:right w:val="single" w:color="A6A6A6" w:sz="4" w:space="0"/>
            </w:tcBorders>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7938" w:type="dxa"/>
            <w:tcBorders>
              <w:top w:val="single" w:color="auto" w:sz="4" w:space="0"/>
              <w:left w:val="nil"/>
              <w:bottom w:val="nil"/>
              <w:right w:val="single" w:color="A6A6A6" w:sz="4" w:space="0"/>
            </w:tcBorders>
            <w:shd w:val="clear" w:color="auto" w:fill="auto"/>
          </w:tcPr>
          <w:p>
            <w:pPr>
              <w:overflowPunct/>
              <w:autoSpaceDE/>
              <w:autoSpaceDN/>
              <w:adjustRightInd/>
              <w:spacing w:after="0"/>
              <w:textAlignment w:val="auto"/>
              <w:rPr>
                <w:rFonts w:hint="eastAsia" w:ascii="Arial" w:hAnsi="Arial" w:eastAsia="宋体" w:cs="Arial"/>
                <w:b/>
                <w:bCs/>
                <w:lang w:val="en-US" w:eastAsia="zh-CN"/>
              </w:rPr>
            </w:pPr>
            <w:r>
              <w:rPr>
                <w:rFonts w:ascii="Arial" w:hAnsi="Arial" w:eastAsia="Times New Roman" w:cs="Arial"/>
                <w:b/>
                <w:bCs/>
                <w:lang w:val="en-US" w:eastAsia="en-US"/>
              </w:rPr>
              <w:t>Interpretation 2.</w:t>
            </w:r>
            <w:r>
              <w:rPr>
                <w:rFonts w:hint="eastAsia" w:ascii="Arial" w:hAnsi="Arial" w:eastAsia="宋体" w:cs="Arial"/>
                <w:b/>
                <w:bCs/>
                <w:lang w:val="en-US" w:eastAsia="zh-CN"/>
              </w:rPr>
              <w:t xml:space="preserve"> No CR is needed.</w:t>
            </w:r>
          </w:p>
          <w:p>
            <w:pPr>
              <w:overflowPunct/>
              <w:autoSpaceDE/>
              <w:autoSpaceDN/>
              <w:adjustRightInd/>
              <w:spacing w:after="0"/>
              <w:textAlignment w:val="auto"/>
              <w:rPr>
                <w:rFonts w:hint="eastAsia" w:ascii="Arial" w:hAnsi="Arial" w:eastAsia="宋体" w:cs="Arial"/>
                <w:b/>
                <w:bCs/>
                <w:lang w:val="en-US" w:eastAsia="zh-CN"/>
              </w:rPr>
            </w:pPr>
          </w:p>
          <w:p>
            <w:pPr>
              <w:overflowPunct/>
              <w:autoSpaceDE/>
              <w:autoSpaceDN/>
              <w:adjustRightInd/>
              <w:spacing w:after="0"/>
              <w:textAlignment w:val="auto"/>
              <w:rPr>
                <w:rFonts w:hint="eastAsia" w:ascii="Arial" w:hAnsi="Arial" w:eastAsia="宋体" w:cs="Arial"/>
                <w:b w:val="0"/>
                <w:bCs w:val="0"/>
                <w:lang w:val="en-US" w:eastAsia="zh-CN"/>
              </w:rPr>
            </w:pPr>
            <w:r>
              <w:rPr>
                <w:rFonts w:hint="eastAsia" w:ascii="Arial" w:hAnsi="Arial" w:eastAsia="宋体" w:cs="Arial"/>
                <w:b w:val="0"/>
                <w:bCs w:val="0"/>
                <w:lang w:val="en-US" w:eastAsia="zh-CN"/>
              </w:rPr>
              <w:t xml:space="preserve">Interpretation 1 would require gNB to predict the subsequent DL scheduling, and would also cause UE to count UL DAI kind of out of order in some cases. </w:t>
            </w:r>
          </w:p>
          <w:p>
            <w:pPr>
              <w:overflowPunct/>
              <w:autoSpaceDE/>
              <w:autoSpaceDN/>
              <w:adjustRightInd/>
              <w:spacing w:after="0"/>
              <w:textAlignment w:val="auto"/>
              <w:rPr>
                <w:rFonts w:hint="eastAsia" w:ascii="Arial" w:hAnsi="Arial" w:eastAsia="宋体" w:cs="Arial"/>
                <w:b w:val="0"/>
                <w:bCs w:val="0"/>
                <w:lang w:val="en-US" w:eastAsia="zh-CN"/>
              </w:rPr>
            </w:pPr>
          </w:p>
          <w:p>
            <w:pPr>
              <w:overflowPunct/>
              <w:autoSpaceDE/>
              <w:autoSpaceDN/>
              <w:adjustRightInd/>
              <w:spacing w:after="0"/>
              <w:textAlignment w:val="auto"/>
              <w:rPr>
                <w:rFonts w:hint="default" w:ascii="Arial" w:hAnsi="Arial" w:eastAsia="宋体" w:cs="Arial"/>
                <w:b w:val="0"/>
                <w:bCs w:val="0"/>
                <w:lang w:val="en-US" w:eastAsia="zh-CN"/>
              </w:rPr>
            </w:pPr>
            <w:r>
              <w:rPr>
                <w:rFonts w:hint="eastAsia" w:ascii="Arial" w:hAnsi="Arial" w:eastAsia="宋体" w:cs="Arial"/>
                <w:b w:val="0"/>
                <w:bCs w:val="0"/>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hint="default" w:ascii="Arial" w:hAnsi="Arial" w:eastAsia="宋体" w:cs="Arial"/>
                <w:b w:val="0"/>
                <w:bCs w:val="0"/>
                <w:lang w:val="en-US" w:eastAsia="zh-CN"/>
              </w:rPr>
              <w:t>’</w:t>
            </w:r>
            <w:r>
              <w:rPr>
                <w:rFonts w:hint="eastAsia" w:ascii="Arial" w:hAnsi="Arial" w:eastAsia="宋体" w:cs="Arial"/>
                <w:b w:val="0"/>
                <w:bCs w:val="0"/>
                <w:lang w:val="en-US" w:eastAsia="zh-CN"/>
              </w:rPr>
              <w:t>s good to hear other companies view on this.</w:t>
            </w:r>
          </w:p>
        </w:tc>
      </w:tr>
    </w:tbl>
    <w:p>
      <w:pPr>
        <w:rPr>
          <w:b/>
          <w:bCs/>
        </w:rPr>
      </w:pPr>
    </w:p>
    <w:p>
      <w:pPr>
        <w:rPr>
          <w:b/>
          <w:bCs/>
        </w:rPr>
      </w:pPr>
    </w:p>
    <w:p>
      <w:pPr>
        <w:pStyle w:val="2"/>
        <w:rPr>
          <w:rStyle w:val="124"/>
        </w:rPr>
      </w:pPr>
      <w:r>
        <w:rPr>
          <w:rStyle w:val="124"/>
        </w:rPr>
        <w:t>2.2</w:t>
      </w:r>
      <w:r>
        <w:rPr>
          <w:rStyle w:val="124"/>
        </w:rPr>
        <w:tab/>
      </w:r>
      <w:r>
        <w:rPr>
          <w:rStyle w:val="124"/>
        </w:rPr>
        <w:t>Issue #2</w:t>
      </w:r>
    </w:p>
    <w:p>
      <w:r>
        <w:t>Possible interpretation 1: The start of a search space set is understood as the first symbol of any CORESET in the search space configuration. See the 1</w:t>
      </w:r>
      <w:r>
        <w:rPr>
          <w:vertAlign w:val="superscript"/>
        </w:rPr>
        <w:t>st</w:t>
      </w:r>
      <w:r>
        <w:t xml:space="preserve"> figure in the introduction.</w:t>
      </w:r>
    </w:p>
    <w:p>
      <w:r>
        <w:t>Possible interpretation 2: The start of a search space set is understood as the first symbol of that CORESET in which the DCI is in. See the 2</w:t>
      </w:r>
      <w:r>
        <w:rPr>
          <w:vertAlign w:val="superscript"/>
        </w:rPr>
        <w:t>nd</w:t>
      </w:r>
      <w:r>
        <w:t xml:space="preserve"> figure in the introduction.</w:t>
      </w:r>
    </w:p>
    <w:p>
      <w:r>
        <w:t>Possible actions:</w:t>
      </w:r>
    </w:p>
    <w:p>
      <w:pPr>
        <w:pStyle w:val="133"/>
        <w:numPr>
          <w:ilvl w:val="0"/>
          <w:numId w:val="18"/>
        </w:numPr>
        <w:rPr>
          <w:rFonts w:ascii="Times New Roman" w:hAnsi="Times New Roman"/>
          <w:sz w:val="20"/>
          <w:szCs w:val="20"/>
          <w:lang w:val="en-GB"/>
        </w:rPr>
      </w:pPr>
      <w:r>
        <w:rPr>
          <w:rFonts w:ascii="Times New Roman" w:hAnsi="Times New Roman"/>
          <w:sz w:val="20"/>
          <w:szCs w:val="20"/>
          <w:lang w:val="en-GB"/>
        </w:rPr>
        <w:t>Draft a CR</w:t>
      </w:r>
    </w:p>
    <w:p>
      <w:pPr>
        <w:pStyle w:val="133"/>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pPr>
        <w:pStyle w:val="133"/>
        <w:rPr>
          <w:rFonts w:ascii="Times New Roman" w:hAnsi="Times New Roman"/>
          <w:sz w:val="20"/>
          <w:szCs w:val="20"/>
          <w:lang w:val="en-GB"/>
        </w:rPr>
      </w:pPr>
    </w:p>
    <w:tbl>
      <w:tblPr>
        <w:tblStyle w:val="51"/>
        <w:tblW w:w="9776" w:type="dxa"/>
        <w:tblInd w:w="0" w:type="dxa"/>
        <w:tblLayout w:type="autofit"/>
        <w:tblCellMar>
          <w:top w:w="0" w:type="dxa"/>
          <w:left w:w="108" w:type="dxa"/>
          <w:bottom w:w="0" w:type="dxa"/>
          <w:right w:w="108" w:type="dxa"/>
        </w:tblCellMar>
      </w:tblPr>
      <w:tblGrid>
        <w:gridCol w:w="1838"/>
        <w:gridCol w:w="7938"/>
      </w:tblGrid>
      <w:tr>
        <w:tblPrEx>
          <w:tblCellMar>
            <w:top w:w="0" w:type="dxa"/>
            <w:left w:w="108" w:type="dxa"/>
            <w:bottom w:w="0" w:type="dxa"/>
            <w:right w:w="108" w:type="dxa"/>
          </w:tblCellMar>
        </w:tblPrEx>
        <w:trPr>
          <w:trHeight w:val="348" w:hRule="atLeast"/>
        </w:trPr>
        <w:tc>
          <w:tcPr>
            <w:tcW w:w="1838"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22"/>
                <w:szCs w:val="22"/>
                <w:lang w:val="en-US" w:eastAsia="en-US"/>
              </w:rPr>
            </w:pPr>
            <w:r>
              <w:rPr>
                <w:rFonts w:ascii="Arial" w:hAnsi="Arial" w:eastAsia="Times New Roman" w:cs="Arial"/>
                <w:b/>
                <w:bCs/>
                <w:color w:val="FFFFFF"/>
                <w:sz w:val="22"/>
                <w:szCs w:val="22"/>
                <w:lang w:val="en-US" w:eastAsia="en-US"/>
              </w:rPr>
              <w:t>Company</w:t>
            </w:r>
          </w:p>
        </w:tc>
        <w:tc>
          <w:tcPr>
            <w:tcW w:w="7938"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22"/>
                <w:szCs w:val="22"/>
                <w:lang w:val="en-US" w:eastAsia="en-US"/>
              </w:rPr>
            </w:pPr>
            <w:r>
              <w:rPr>
                <w:rFonts w:ascii="Arial" w:hAnsi="Arial" w:eastAsia="Times New Roman" w:cs="Arial"/>
                <w:b/>
                <w:bCs/>
                <w:color w:val="FFFFFF"/>
                <w:sz w:val="22"/>
                <w:szCs w:val="22"/>
                <w:lang w:val="en-US" w:eastAsia="en-US"/>
              </w:rPr>
              <w:t>Comment</w:t>
            </w: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textAlignment w:val="auto"/>
              <w:rPr>
                <w:color w:val="0563C1"/>
                <w:u w:val="single"/>
              </w:rPr>
            </w:pPr>
            <w:r>
              <w:rPr>
                <w:rFonts w:ascii="Arial" w:hAnsi="Arial" w:eastAsia="Times New Roman" w:cs="Arial"/>
                <w:lang w:val="en-US" w:eastAsia="en-US"/>
              </w:rPr>
              <w:t>Nokia, NSB</w:t>
            </w:r>
          </w:p>
        </w:tc>
        <w:tc>
          <w:tcPr>
            <w:tcW w:w="793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b/>
                <w:bCs/>
                <w:lang w:val="en-US" w:eastAsia="en-US"/>
              </w:rPr>
              <w:t>Interpretation1:</w:t>
            </w:r>
            <w:r>
              <w:rPr>
                <w:rFonts w:ascii="Arial" w:hAnsi="Arial" w:eastAsia="Times New Roman" w:cs="Arial"/>
                <w:lang w:val="en-US" w:eastAsia="en-US"/>
              </w:rPr>
              <w:t xml:space="preserve"> The previously should refer to any CORESET so that the location of the DCI does not alter the cDAI/tDAI ordering.</w:t>
            </w:r>
          </w:p>
          <w:p>
            <w:pPr>
              <w:overflowPunct/>
              <w:autoSpaceDE/>
              <w:autoSpaceDN/>
              <w:adjustRightInd/>
              <w:textAlignment w:val="auto"/>
              <w:rPr>
                <w:rFonts w:ascii="Arial" w:hAnsi="Arial" w:eastAsia="Times New Roman" w:cs="Arial"/>
                <w:lang w:val="en-US" w:eastAsia="en-US"/>
              </w:rPr>
            </w:pPr>
            <w:r>
              <w:rPr>
                <w:rFonts w:ascii="Arial" w:hAnsi="Arial" w:eastAsia="Times New Roman" w:cs="Arial"/>
                <w:b/>
                <w:bCs/>
                <w:lang w:val="en-US" w:eastAsia="en-US"/>
              </w:rPr>
              <w:t>Action a):</w:t>
            </w:r>
            <w:r>
              <w:rPr>
                <w:rFonts w:ascii="Arial" w:hAnsi="Arial" w:eastAsia="Times New Roman" w:cs="Arial"/>
                <w:lang w:val="en-US" w:eastAsia="en-US"/>
              </w:rPr>
              <w:t xml:space="preserve"> a CR should be drafted and agreed together with issue #1</w:t>
            </w: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textAlignment w:val="auto"/>
              <w:rPr>
                <w:rFonts w:ascii="Arial" w:hAnsi="Arial" w:eastAsia="Times New Roman" w:cs="Arial"/>
                <w:lang w:val="en-US" w:eastAsia="zh-CN"/>
              </w:rPr>
            </w:pPr>
            <w:r>
              <w:rPr>
                <w:rFonts w:hint="eastAsia" w:ascii="Arial" w:hAnsi="Arial" w:eastAsia="Times New Roman" w:cs="Arial"/>
                <w:lang w:val="en-US" w:eastAsia="zh-CN"/>
              </w:rPr>
              <w:t>CATT</w:t>
            </w:r>
          </w:p>
        </w:tc>
        <w:tc>
          <w:tcPr>
            <w:tcW w:w="793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textAlignment w:val="auto"/>
              <w:rPr>
                <w:rFonts w:ascii="Arial" w:hAnsi="Arial" w:eastAsia="Times New Roman" w:cs="Arial"/>
                <w:lang w:val="en-US" w:eastAsia="zh-CN"/>
              </w:rPr>
            </w:pPr>
            <w:r>
              <w:rPr>
                <w:rFonts w:hint="eastAsia" w:ascii="Arial" w:hAnsi="Arial" w:eastAsia="Times New Roman" w:cs="Arial"/>
                <w:lang w:val="en-US" w:eastAsia="zh-CN"/>
              </w:rPr>
              <w:t>Same as comments to Issue #1. The DAI ordering should be as shown for interpretation 2.</w:t>
            </w: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Apple </w:t>
            </w:r>
          </w:p>
        </w:tc>
        <w:tc>
          <w:tcPr>
            <w:tcW w:w="793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textAlignment w:val="auto"/>
              <w:rPr>
                <w:rFonts w:ascii="Arial" w:hAnsi="Arial" w:eastAsia="Times New Roman" w:cs="Arial"/>
                <w:b/>
                <w:bCs/>
                <w:lang w:val="en-US" w:eastAsia="en-US"/>
              </w:rPr>
            </w:pPr>
            <w:r>
              <w:rPr>
                <w:rFonts w:ascii="Arial" w:hAnsi="Arial" w:eastAsia="Times New Roman" w:cs="Arial"/>
                <w:b/>
                <w:bCs/>
                <w:lang w:val="en-US" w:eastAsia="en-US"/>
              </w:rPr>
              <w:t xml:space="preserve">Interpretation 2. </w:t>
            </w: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hAnsi="Arial" w:eastAsia="Times New Roman" w:cs="Arial"/>
                <w:lang w:val="en-US" w:eastAsia="en-US"/>
              </w:rPr>
              <w:t>’, instead of ‘</w:t>
            </w:r>
            <w:r>
              <w:rPr>
                <w:highlight w:val="yellow"/>
                <w:lang w:eastAsia="zh-CN"/>
              </w:rPr>
              <w:t xml:space="preserve">start time of the </w:t>
            </w:r>
            <w:r>
              <w:rPr>
                <w:highlight w:val="yellow"/>
              </w:rPr>
              <w:t>search space set</w:t>
            </w:r>
            <w:r>
              <w:rPr>
                <w:rFonts w:ascii="Arial" w:hAnsi="Arial" w:eastAsia="Times New Roman" w:cs="Arial"/>
                <w:lang w:val="en-US" w:eastAsia="en-US"/>
              </w:rPr>
              <w:t xml:space="preserve">’. </w:t>
            </w:r>
          </w:p>
          <w:p>
            <w:pPr>
              <w:overflowPunct/>
              <w:autoSpaceDE/>
              <w:autoSpaceDN/>
              <w:adjustRightInd/>
              <w:spacing w:after="0"/>
              <w:textAlignment w:val="auto"/>
              <w:rPr>
                <w:rFonts w:ascii="Arial" w:hAnsi="Arial" w:eastAsia="Times New Roman" w:cs="Arial"/>
                <w:lang w:val="en-US" w:eastAsia="en-US"/>
              </w:rPr>
            </w:pP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pPr>
              <w:overflowPunct/>
              <w:autoSpaceDE/>
              <w:autoSpaceDN/>
              <w:adjustRightInd/>
              <w:spacing w:after="0"/>
              <w:textAlignment w:val="auto"/>
              <w:rPr>
                <w:rFonts w:ascii="Arial" w:hAnsi="Arial" w:eastAsia="Times New Roman" w:cs="Arial"/>
                <w:lang w:val="en-US" w:eastAsia="en-US"/>
              </w:rPr>
            </w:pP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As pointed out by Aris in email discussion, interpretation #1 would require gNB to implement prediction on lower CC for setting the C-DAI/T-DAI in CC with higher CC index. </w:t>
            </w:r>
          </w:p>
          <w:p>
            <w:pPr>
              <w:overflowPunct/>
              <w:autoSpaceDE/>
              <w:autoSpaceDN/>
              <w:adjustRightInd/>
              <w:spacing w:after="0"/>
              <w:textAlignment w:val="auto"/>
              <w:rPr>
                <w:rFonts w:ascii="Arial" w:hAnsi="Arial" w:eastAsia="Times New Roman" w:cs="Arial"/>
                <w:lang w:val="en-US" w:eastAsia="en-US"/>
              </w:rPr>
            </w:pPr>
          </w:p>
          <w:p>
            <w:pPr>
              <w:overflowPunct/>
              <w:autoSpaceDE/>
              <w:autoSpaceDN/>
              <w:adjustRightInd/>
              <w:spacing w:after="0"/>
              <w:textAlignment w:val="auto"/>
              <w:rPr>
                <w:rFonts w:ascii="Arial" w:hAnsi="Arial" w:eastAsia="Times New Roman" w:cs="Arial"/>
                <w:lang w:val="en-US" w:eastAsia="en-US"/>
              </w:rPr>
            </w:pPr>
            <w:r>
              <w:rPr>
                <w:rFonts w:ascii="Arial" w:hAnsi="Arial" w:eastAsia="Times New Roman" w:cs="Arial"/>
                <w:lang w:val="en-US" w:eastAsia="en-US"/>
              </w:rPr>
              <w:t xml:space="preserve">With interpretation 2, we think ACTION b) is sufficient. </w:t>
            </w:r>
          </w:p>
          <w:p>
            <w:pPr>
              <w:overflowPunct/>
              <w:autoSpaceDE/>
              <w:autoSpaceDN/>
              <w:adjustRightInd/>
              <w:spacing w:after="0"/>
              <w:textAlignment w:val="auto"/>
              <w:rPr>
                <w:rFonts w:ascii="Arial" w:hAnsi="Arial" w:eastAsia="Times New Roman" w:cs="Arial"/>
                <w:lang w:val="en-US" w:eastAsia="en-US"/>
              </w:rPr>
            </w:pPr>
          </w:p>
        </w:tc>
      </w:tr>
      <w:tr>
        <w:tblPrEx>
          <w:tblCellMar>
            <w:top w:w="0" w:type="dxa"/>
            <w:left w:w="108" w:type="dxa"/>
            <w:bottom w:w="0" w:type="dxa"/>
            <w:right w:w="108" w:type="dxa"/>
          </w:tblCellMar>
        </w:tblPrEx>
        <w:trPr>
          <w:trHeight w:val="450" w:hRule="atLeast"/>
        </w:trPr>
        <w:tc>
          <w:tcPr>
            <w:tcW w:w="1838" w:type="dxa"/>
            <w:tcBorders>
              <w:top w:val="single" w:color="auto" w:sz="4" w:space="0"/>
              <w:left w:val="single" w:color="A6A6A6" w:sz="4" w:space="0"/>
              <w:bottom w:val="nil"/>
              <w:right w:val="single" w:color="A6A6A6" w:sz="4" w:space="0"/>
            </w:tcBorders>
          </w:tcPr>
          <w:p>
            <w:pPr>
              <w:overflowPunct/>
              <w:autoSpaceDE/>
              <w:autoSpaceDN/>
              <w:adjustRightInd/>
              <w:spacing w:after="0"/>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7938" w:type="dxa"/>
            <w:tcBorders>
              <w:top w:val="single" w:color="auto" w:sz="4" w:space="0"/>
              <w:left w:val="nil"/>
              <w:bottom w:val="nil"/>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lang w:val="en-US" w:eastAsia="en-US"/>
              </w:rPr>
            </w:pPr>
            <w:r>
              <w:rPr>
                <w:rFonts w:ascii="Arial" w:hAnsi="Arial" w:eastAsia="Times New Roman" w:cs="Arial"/>
                <w:b/>
                <w:bCs/>
                <w:lang w:val="en-US" w:eastAsia="en-US"/>
              </w:rPr>
              <w:t>Interpretation 2</w:t>
            </w:r>
          </w:p>
          <w:p>
            <w:pPr>
              <w:overflowPunct/>
              <w:autoSpaceDE/>
              <w:autoSpaceDN/>
              <w:adjustRightInd/>
              <w:spacing w:after="0"/>
              <w:textAlignment w:val="auto"/>
              <w:rPr>
                <w:rFonts w:ascii="Arial" w:hAnsi="Arial" w:eastAsia="Times New Roman" w:cs="Arial"/>
                <w:b/>
                <w:bCs/>
                <w:lang w:val="en-US" w:eastAsia="en-US"/>
              </w:rPr>
            </w:pPr>
          </w:p>
          <w:p>
            <w:pPr>
              <w:overflowPunct/>
              <w:autoSpaceDE/>
              <w:autoSpaceDN/>
              <w:adjustRightInd/>
              <w:spacing w:after="0"/>
              <w:textAlignment w:val="auto"/>
              <w:rPr>
                <w:rFonts w:hint="eastAsia" w:ascii="Arial" w:hAnsi="Arial" w:eastAsia="Times New Roman" w:cs="Arial"/>
                <w:lang w:val="en-US" w:eastAsia="zh-CN"/>
              </w:rPr>
            </w:pPr>
            <w:r>
              <w:rPr>
                <w:rFonts w:hint="eastAsia" w:ascii="Arial" w:hAnsi="Arial" w:eastAsia="Times New Roman" w:cs="Arial"/>
                <w:lang w:val="en-US" w:eastAsia="zh-CN"/>
              </w:rPr>
              <w:t>DAI counting is performed per MO basis in the time domain according to the pseudo-code. Thus, Interpretation 2 should be the original intention. In addition, a</w:t>
            </w:r>
            <w:bookmarkStart w:id="6" w:name="_GoBack"/>
            <w:bookmarkEnd w:id="6"/>
            <w:r>
              <w:rPr>
                <w:rFonts w:hint="eastAsia" w:ascii="Arial" w:hAnsi="Arial" w:eastAsia="Times New Roman" w:cs="Arial"/>
                <w:lang w:val="en-US" w:eastAsia="zh-CN"/>
              </w:rPr>
              <w:t xml:space="preserve">s commented above, Interpretation 1 would require gNB to predict the subsequent DL scheduling, and would also cause UE to count UL DAI kind of out of order in some cases. </w:t>
            </w:r>
          </w:p>
          <w:p>
            <w:pPr>
              <w:overflowPunct/>
              <w:autoSpaceDE/>
              <w:autoSpaceDN/>
              <w:adjustRightInd/>
              <w:spacing w:after="0"/>
              <w:textAlignment w:val="auto"/>
              <w:rPr>
                <w:rFonts w:hint="default" w:ascii="Arial" w:hAnsi="Arial" w:eastAsia="宋体" w:cs="Arial"/>
                <w:b/>
                <w:bCs/>
                <w:lang w:val="en-US" w:eastAsia="zh-CN"/>
              </w:rPr>
            </w:pPr>
          </w:p>
        </w:tc>
      </w:tr>
    </w:tbl>
    <w:p>
      <w:pPr>
        <w:rPr>
          <w:b/>
          <w:bCs/>
        </w:rPr>
      </w:pPr>
    </w:p>
    <w:p>
      <w:pPr>
        <w:rPr>
          <w:b/>
          <w:bCs/>
        </w:rPr>
      </w:pPr>
    </w:p>
    <w:p>
      <w:pPr>
        <w:pStyle w:val="2"/>
        <w:rPr>
          <w:rStyle w:val="68"/>
        </w:rPr>
      </w:pPr>
      <w:bookmarkStart w:id="5" w:name="_Toc62031204"/>
      <w:r>
        <w:rPr>
          <w:rStyle w:val="68"/>
        </w:rPr>
        <w:t>3</w:t>
      </w:r>
      <w:r>
        <w:rPr>
          <w:rStyle w:val="68"/>
        </w:rPr>
        <w:tab/>
      </w:r>
      <w:r>
        <w:rPr>
          <w:rStyle w:val="68"/>
        </w:rPr>
        <w:t>Conclusions</w:t>
      </w:r>
      <w:bookmarkEnd w:id="5"/>
    </w:p>
    <w:p>
      <w:r>
        <w:t>To be written</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Yu Mincho">
    <w:altName w:val="MS Gothic"/>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4D4C03"/>
    <w:multiLevelType w:val="multilevel"/>
    <w:tmpl w:val="074D4C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4227A4"/>
    <w:multiLevelType w:val="multilevel"/>
    <w:tmpl w:val="0B4227A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877D64"/>
    <w:multiLevelType w:val="singleLevel"/>
    <w:tmpl w:val="3A877D64"/>
    <w:lvl w:ilvl="0" w:tentative="0">
      <w:start w:val="1"/>
      <w:numFmt w:val="decimal"/>
      <w:pStyle w:val="154"/>
      <w:lvlText w:val="[%1]"/>
      <w:lvlJc w:val="left"/>
      <w:pPr>
        <w:tabs>
          <w:tab w:val="left" w:pos="360"/>
        </w:tabs>
        <w:ind w:left="360" w:hanging="360"/>
      </w:pPr>
      <w:rPr>
        <w:b w:val="0"/>
      </w:r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ABD76DD"/>
    <w:multiLevelType w:val="multilevel"/>
    <w:tmpl w:val="4ABD76DD"/>
    <w:lvl w:ilvl="0" w:tentative="0">
      <w:start w:val="1"/>
      <w:numFmt w:val="decimal"/>
      <w:lvlText w:val="%1)"/>
      <w:lvlJc w:val="left"/>
      <w:pPr>
        <w:ind w:left="460" w:hanging="360"/>
      </w:p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01E19EA"/>
    <w:multiLevelType w:val="multilevel"/>
    <w:tmpl w:val="601E19EA"/>
    <w:lvl w:ilvl="0" w:tentative="0">
      <w:start w:val="2"/>
      <w:numFmt w:val="decimal"/>
      <w:lvlText w:val="%1)"/>
      <w:lvlJc w:val="left"/>
      <w:pPr>
        <w:ind w:left="460" w:hanging="360"/>
      </w:p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19539B8"/>
    <w:multiLevelType w:val="multilevel"/>
    <w:tmpl w:val="719539B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rFonts w:ascii="Arial" w:hAnsi="Arial"/>
      <w:sz w:val="18"/>
      <w:lang w:val="zh-CN" w:eastAsia="zh-CN"/>
    </w:rPr>
  </w:style>
  <w:style w:type="paragraph" w:customStyle="1" w:styleId="79">
    <w:name w:val="TAC"/>
    <w:basedOn w:val="78"/>
    <w:link w:val="149"/>
    <w:qFormat/>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paragraph" w:customStyle="1" w:styleId="147">
    <w:name w:val="IvD bodytext"/>
    <w:basedOn w:val="15"/>
    <w:link w:val="148"/>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8">
    <w:name w:val="IvD bodytext Char"/>
    <w:basedOn w:val="53"/>
    <w:link w:val="147"/>
    <w:uiPriority w:val="0"/>
    <w:rPr>
      <w:rFonts w:ascii="Arial" w:hAnsi="Arial"/>
      <w:spacing w:val="2"/>
      <w:lang w:val="en-US" w:eastAsia="en-US"/>
    </w:rPr>
  </w:style>
  <w:style w:type="character" w:customStyle="1" w:styleId="149">
    <w:name w:val="TAC Char"/>
    <w:link w:val="79"/>
    <w:qFormat/>
    <w:locked/>
    <w:uiPriority w:val="0"/>
    <w:rPr>
      <w:rFonts w:ascii="Arial" w:hAnsi="Arial"/>
      <w:sz w:val="18"/>
      <w:lang w:val="zh-CN" w:eastAsia="zh-CN"/>
    </w:rPr>
  </w:style>
  <w:style w:type="character" w:customStyle="1" w:styleId="150">
    <w:name w:val="Caption Char"/>
    <w:basedOn w:val="53"/>
    <w:link w:val="29"/>
    <w:uiPriority w:val="0"/>
    <w:rPr>
      <w:rFonts w:ascii="Times New Roman" w:hAnsi="Times New Roman"/>
      <w:b/>
    </w:rPr>
  </w:style>
  <w:style w:type="character" w:customStyle="1" w:styleId="151">
    <w:name w:val="B1 Zchn"/>
    <w:qFormat/>
    <w:uiPriority w:val="0"/>
    <w:rPr>
      <w:lang w:eastAsia="en-US"/>
    </w:rPr>
  </w:style>
  <w:style w:type="character" w:styleId="152">
    <w:name w:val="Placeholder Text"/>
    <w:basedOn w:val="53"/>
    <w:semiHidden/>
    <w:uiPriority w:val="99"/>
    <w:rPr>
      <w:color w:val="808080"/>
    </w:rPr>
  </w:style>
  <w:style w:type="paragraph" w:customStyle="1" w:styleId="153">
    <w:name w:val="正文1"/>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154">
    <w:name w:val="References"/>
    <w:basedOn w:val="1"/>
    <w:next w:val="1"/>
    <w:uiPriority w:val="0"/>
    <w:pPr>
      <w:numPr>
        <w:ilvl w:val="0"/>
        <w:numId w:val="13"/>
      </w:numPr>
      <w:overflowPunct/>
      <w:adjustRightInd/>
      <w:snapToGrid w:val="0"/>
      <w:spacing w:after="60"/>
      <w:textAlignment w:val="auto"/>
    </w:pPr>
    <w:rPr>
      <w:rFonts w:eastAsia="宋体"/>
      <w:szCs w:val="16"/>
      <w:lang w:val="en-US" w:eastAsia="en-US"/>
    </w:rPr>
  </w:style>
  <w:style w:type="character" w:customStyle="1" w:styleId="155">
    <w:name w:val="B1 (文字)"/>
    <w:locked/>
    <w:uiPriority w:val="0"/>
    <w:rPr>
      <w:rFonts w:ascii="Times New Roman" w:hAnsi="Times New Roman" w:eastAsia="Times New Roman"/>
    </w:rPr>
  </w:style>
  <w:style w:type="character" w:customStyle="1" w:styleId="156">
    <w:name w:val="B3 Char"/>
    <w:locked/>
    <w:uiPriority w:val="0"/>
    <w:rPr>
      <w:lang w:val="zh-CN" w:eastAsia="en-US"/>
    </w:rPr>
  </w:style>
  <w:style w:type="character" w:customStyle="1" w:styleId="157">
    <w:name w:val="apple-converted-space"/>
    <w:basedOn w:val="53"/>
    <w:qFormat/>
    <w:uiPriority w:val="0"/>
  </w:style>
  <w:style w:type="character" w:customStyle="1" w:styleId="158">
    <w:name w:val="Unresolved Mention1"/>
    <w:basedOn w:val="53"/>
    <w:semiHidden/>
    <w:unhideWhenUsed/>
    <w:uiPriority w:val="99"/>
    <w:rPr>
      <w:color w:val="605E5C"/>
      <w:shd w:val="clear" w:color="auto" w:fill="E1DFDD"/>
    </w:rPr>
  </w:style>
  <w:style w:type="paragraph" w:customStyle="1" w:styleId="159">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60">
    <w:name w:val="Unresolved Mention2"/>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3BD0161C-1645-4523-B8E4-D0CDDBEA9772}">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Company>Ericsson</Company>
  <Pages>4</Pages>
  <Words>974</Words>
  <Characters>5553</Characters>
  <Lines>46</Lines>
  <Paragraphs>13</Paragraphs>
  <TotalTime>2</TotalTime>
  <ScaleCrop>false</ScaleCrop>
  <LinksUpToDate>false</LinksUpToDate>
  <CharactersWithSpaces>6514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2021-01-25T16:11:00Z</dcterms:created>
  <dc:creator>Mattias Frenne</dc:creator>
  <cp:keywords>3GPP; Ericsson; TDoc</cp:keywords>
  <cp:lastModifiedBy>ZTE</cp:lastModifiedBy>
  <cp:lastPrinted>2008-01-31T07:09:00Z</cp:lastPrinted>
  <dcterms:modified xsi:type="dcterms:W3CDTF">2021-01-26T01:58:43Z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