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af"/>
            <w:lang w:val="en-GB"/>
          </w:rPr>
          <w:t>R1-21000</w:t>
        </w:r>
        <w:r w:rsidR="002E2839">
          <w:rPr>
            <w:rStyle w:val="af"/>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afa"/>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a9"/>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a9"/>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a9"/>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af7"/>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af"/>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C57B30" w:rsidP="002E2839">
      <w:pPr>
        <w:pStyle w:val="af7"/>
        <w:numPr>
          <w:ilvl w:val="0"/>
          <w:numId w:val="32"/>
        </w:numPr>
        <w:overflowPunct/>
        <w:autoSpaceDE/>
        <w:autoSpaceDN/>
        <w:adjustRightInd/>
        <w:textAlignment w:val="auto"/>
        <w:rPr>
          <w:lang w:eastAsia="x-none"/>
        </w:rPr>
      </w:pPr>
      <w:hyperlink r:id="rId12" w:history="1">
        <w:r w:rsidR="002E2839">
          <w:rPr>
            <w:rStyle w:val="af"/>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C57B30" w:rsidP="002E2839">
      <w:pPr>
        <w:pStyle w:val="af7"/>
        <w:numPr>
          <w:ilvl w:val="0"/>
          <w:numId w:val="32"/>
        </w:numPr>
        <w:overflowPunct/>
        <w:autoSpaceDE/>
        <w:autoSpaceDN/>
        <w:adjustRightInd/>
        <w:textAlignment w:val="auto"/>
        <w:rPr>
          <w:lang w:eastAsia="x-none"/>
        </w:rPr>
      </w:pPr>
      <w:hyperlink r:id="rId13" w:history="1">
        <w:r w:rsidR="002E2839">
          <w:rPr>
            <w:rStyle w:val="af"/>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C57B30" w:rsidP="002E2839">
      <w:pPr>
        <w:pStyle w:val="af7"/>
        <w:numPr>
          <w:ilvl w:val="0"/>
          <w:numId w:val="32"/>
        </w:numPr>
        <w:overflowPunct/>
        <w:autoSpaceDE/>
        <w:autoSpaceDN/>
        <w:adjustRightInd/>
        <w:textAlignment w:val="auto"/>
        <w:rPr>
          <w:lang w:eastAsia="x-none"/>
        </w:rPr>
      </w:pPr>
      <w:hyperlink r:id="rId14" w:history="1">
        <w:r w:rsidR="002E2839">
          <w:rPr>
            <w:rStyle w:val="af"/>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C57B30" w:rsidP="002E2839">
      <w:pPr>
        <w:pStyle w:val="af7"/>
        <w:numPr>
          <w:ilvl w:val="0"/>
          <w:numId w:val="32"/>
        </w:numPr>
        <w:overflowPunct/>
        <w:autoSpaceDE/>
        <w:autoSpaceDN/>
        <w:adjustRightInd/>
        <w:textAlignment w:val="auto"/>
        <w:rPr>
          <w:lang w:eastAsia="x-none"/>
        </w:rPr>
      </w:pPr>
      <w:hyperlink r:id="rId15" w:history="1">
        <w:r w:rsidR="002E2839">
          <w:rPr>
            <w:rStyle w:val="af"/>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C57B30" w:rsidP="002E2839">
      <w:pPr>
        <w:pStyle w:val="af7"/>
        <w:numPr>
          <w:ilvl w:val="0"/>
          <w:numId w:val="32"/>
        </w:numPr>
        <w:overflowPunct/>
        <w:autoSpaceDE/>
        <w:autoSpaceDN/>
        <w:adjustRightInd/>
        <w:textAlignment w:val="auto"/>
        <w:rPr>
          <w:lang w:eastAsia="x-none"/>
        </w:rPr>
      </w:pPr>
      <w:hyperlink r:id="rId16" w:history="1">
        <w:r w:rsidR="002E2839">
          <w:rPr>
            <w:rStyle w:val="af"/>
            <w:lang w:eastAsia="x-none"/>
          </w:rPr>
          <w:t>R1-2101745</w:t>
        </w:r>
      </w:hyperlink>
      <w:r w:rsidR="002E2839">
        <w:rPr>
          <w:lang w:eastAsia="x-none"/>
        </w:rPr>
        <w:tab/>
        <w:t>Discussion on LS on half-duplex operation</w:t>
      </w:r>
      <w:r w:rsidR="002E2839">
        <w:rPr>
          <w:lang w:eastAsia="x-none"/>
        </w:rPr>
        <w:tab/>
        <w:t>Huawei, HiSilicon</w:t>
      </w:r>
    </w:p>
    <w:bookmarkEnd w:id="3"/>
    <w:p w14:paraId="29A21C9B" w14:textId="267049A1" w:rsidR="00BA6870" w:rsidRDefault="004B4BFC" w:rsidP="00BA6870">
      <w:pPr>
        <w:pStyle w:val="1"/>
        <w:rPr>
          <w:rStyle w:val="1Char"/>
        </w:rPr>
      </w:pPr>
      <w:r>
        <w:rPr>
          <w:rStyle w:val="1Char"/>
        </w:rPr>
        <w:lastRenderedPageBreak/>
        <w:t>2</w:t>
      </w:r>
      <w:r w:rsidR="000702B2">
        <w:rPr>
          <w:rStyle w:val="1Char"/>
        </w:rPr>
        <w:tab/>
      </w:r>
      <w:bookmarkEnd w:id="4"/>
      <w:r>
        <w:rPr>
          <w:rStyle w:val="1Char"/>
        </w:rPr>
        <w:t>Proposals submitted to AI5</w:t>
      </w:r>
      <w:r w:rsidR="007A0AEE">
        <w:rPr>
          <w:rStyle w:val="1Char"/>
        </w:rPr>
        <w:t xml:space="preserve"> related to the LS</w:t>
      </w:r>
    </w:p>
    <w:p w14:paraId="03A00209" w14:textId="76D3FF26" w:rsidR="004B4BFC" w:rsidRDefault="004B4BFC" w:rsidP="004B4BFC">
      <w:pPr>
        <w:pStyle w:val="21"/>
      </w:pPr>
      <w:r>
        <w:t>2.1</w:t>
      </w:r>
      <w:r>
        <w:tab/>
        <w:t>R1-2100085</w:t>
      </w:r>
    </w:p>
    <w:tbl>
      <w:tblPr>
        <w:tblStyle w:val="afa"/>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behavior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a9"/>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21"/>
      </w:pPr>
      <w:r>
        <w:t>2.2</w:t>
      </w:r>
      <w:r>
        <w:tab/>
        <w:t>R1-2100319</w:t>
      </w:r>
    </w:p>
    <w:tbl>
      <w:tblPr>
        <w:tblStyle w:val="afa"/>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af7"/>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af7"/>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af7"/>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each frequency band.</w:t>
            </w:r>
          </w:p>
          <w:p w14:paraId="48D5BCA4" w14:textId="77777777" w:rsidR="004B4BFC" w:rsidRPr="004B4BFC" w:rsidRDefault="004B4BFC" w:rsidP="004B4BFC">
            <w:pPr>
              <w:pStyle w:val="af7"/>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a9"/>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21"/>
      </w:pPr>
      <w:r>
        <w:t>2.3</w:t>
      </w:r>
      <w:r>
        <w:tab/>
        <w:t>R1-2100504</w:t>
      </w:r>
    </w:p>
    <w:tbl>
      <w:tblPr>
        <w:tblStyle w:val="afa"/>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afa"/>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等线"/>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half-duplex-behavior</w:t>
                  </w:r>
                  <w:r w:rsidRPr="004B4BFC">
                    <w:rPr>
                      <w:color w:val="FF0000"/>
                      <w:u w:val="single"/>
                      <w:lang w:val="en-GB" w:eastAsia="fi-FI"/>
                    </w:rPr>
                    <w:t xml:space="preserve"> directionalCollisionHandling-r16</w:t>
                  </w:r>
                  <w:r w:rsidRPr="004B4BFC">
                    <w:rPr>
                      <w:lang w:val="en-GB" w:eastAsia="fi-FI"/>
                    </w:rPr>
                    <w:t xml:space="preserve"> = '</w:t>
                  </w:r>
                  <w:r w:rsidRPr="004B4BFC">
                    <w:rPr>
                      <w:strike/>
                      <w:color w:val="FF0000"/>
                      <w:lang w:val="en-GB" w:eastAsia="fi-FI"/>
                    </w:rPr>
                    <w:t>enable</w:t>
                  </w:r>
                  <w:r w:rsidRPr="004B4BFC">
                    <w:rPr>
                      <w:color w:val="FF0000"/>
                      <w:u w:val="single"/>
                      <w:lang w:val="en-GB" w:eastAsia="fi-FI"/>
                    </w:rPr>
                    <w:t>enabled</w:t>
                  </w:r>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等线"/>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等线"/>
                      <w:color w:val="FF0000"/>
                      <w:u w:val="single"/>
                      <w:lang w:val="en-GB" w:eastAsia="fi-FI"/>
                    </w:rPr>
                    <w:t>-</w:t>
                  </w:r>
                  <w:r w:rsidRPr="004B4BFC">
                    <w:rPr>
                      <w:rFonts w:eastAsia="等线"/>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r w:rsidRPr="004B4BFC">
                    <w:rPr>
                      <w:i/>
                      <w:iCs/>
                      <w:color w:val="FF0000"/>
                      <w:u w:val="single"/>
                      <w:lang w:val="en-GB" w:eastAsia="fi-FI"/>
                    </w:rPr>
                    <w:t>simultaneousRxTxInterBandCA</w:t>
                  </w:r>
                  <w:r w:rsidRPr="004B4BFC">
                    <w:rPr>
                      <w:color w:val="FF0000"/>
                      <w:u w:val="single"/>
                      <w:lang w:val="en-GB" w:eastAsia="fi-FI"/>
                    </w:rPr>
                    <w:t xml:space="preserve"> capability</w:t>
                  </w:r>
                  <w:r w:rsidRPr="004B4BFC">
                    <w:rPr>
                      <w:lang w:val="en-GB" w:eastAsia="fi-FI"/>
                    </w:rPr>
                    <w:t xml:space="preserve">, </w:t>
                  </w:r>
                  <w:r w:rsidRPr="004B4BFC">
                    <w:rPr>
                      <w:rFonts w:eastAsia="等线"/>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等线"/>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等线"/>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等线"/>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af7"/>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a9"/>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21"/>
      </w:pPr>
      <w:r>
        <w:lastRenderedPageBreak/>
        <w:t>2.4</w:t>
      </w:r>
      <w:r>
        <w:tab/>
        <w:t>R1-2101158</w:t>
      </w:r>
    </w:p>
    <w:tbl>
      <w:tblPr>
        <w:tblStyle w:val="afa"/>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behavior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af7"/>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af7"/>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21"/>
      </w:pPr>
      <w:r>
        <w:lastRenderedPageBreak/>
        <w:t>2.5</w:t>
      </w:r>
      <w:r>
        <w:tab/>
        <w:t>R1-2101163</w:t>
      </w:r>
    </w:p>
    <w:tbl>
      <w:tblPr>
        <w:tblStyle w:val="afa"/>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a9"/>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21"/>
      </w:pPr>
      <w:r>
        <w:t>2.6</w:t>
      </w:r>
      <w:r>
        <w:tab/>
        <w:t>R1-2101745</w:t>
      </w:r>
    </w:p>
    <w:tbl>
      <w:tblPr>
        <w:tblStyle w:val="afa"/>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behavior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1"/>
      </w:pPr>
      <w:r>
        <w:rPr>
          <w:rStyle w:val="1Char"/>
        </w:rPr>
        <w:t>3</w:t>
      </w:r>
      <w:r>
        <w:rPr>
          <w:rStyle w:val="1Char"/>
        </w:rPr>
        <w:tab/>
        <w:t>Discussion</w:t>
      </w:r>
      <w:r w:rsidR="007A0AEE">
        <w:rPr>
          <w:rStyle w:val="1Char"/>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af7"/>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af7"/>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af7"/>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af7"/>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af7"/>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af7"/>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lastRenderedPageBreak/>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af7"/>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af7"/>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宋体"/>
                <w:i/>
                <w:lang w:val="x-none" w:eastAsia="zh-CN"/>
              </w:rPr>
              <w:t>half-DuplexTDD-CA-SameSCS-r16</w:t>
            </w:r>
            <w:r>
              <w:rPr>
                <w:rFonts w:ascii="Arial" w:hAnsi="Arial" w:cs="Arial" w:hint="eastAsia"/>
                <w:lang w:val="en-US" w:eastAsia="zh-CN"/>
              </w:rPr>
              <w:t xml:space="preserve">. According to 38.306, a UE can report </w:t>
            </w:r>
            <w:r w:rsidRPr="001E7482">
              <w:rPr>
                <w:rFonts w:eastAsia="宋体"/>
                <w:i/>
                <w:lang w:val="x-none" w:eastAsia="zh-CN"/>
              </w:rPr>
              <w:t>half-DuplexTDD-CA-SameSCS-r16</w:t>
            </w:r>
            <w:r>
              <w:rPr>
                <w:rFonts w:ascii="Arial" w:hAnsi="Arial" w:cs="Arial" w:hint="eastAsia"/>
                <w:lang w:val="en-US" w:eastAsia="zh-CN"/>
              </w:rPr>
              <w:t xml:space="preserve"> only if </w:t>
            </w:r>
            <w:r w:rsidRPr="0021217F">
              <w:rPr>
                <w:rFonts w:eastAsia="宋体"/>
                <w:i/>
                <w:lang w:val="x-none" w:eastAsia="zh-CN"/>
              </w:rPr>
              <w:t xml:space="preserve">simultaneousRxTxInterBandCA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r w:rsidRPr="0021217F">
                    <w:rPr>
                      <w:bCs/>
                      <w:i/>
                      <w:iCs/>
                      <w:highlight w:val="cyan"/>
                    </w:rPr>
                    <w:t>simultaneousRxTxInterBandCA</w:t>
                  </w:r>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r w:rsidRPr="00F11278">
                    <w:rPr>
                      <w:b/>
                      <w:bCs/>
                      <w:i/>
                      <w:iCs/>
                    </w:rPr>
                    <w:t>simultaneousRxTxInterBandCA</w:t>
                  </w:r>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It is our understanding that </w:t>
            </w:r>
            <w:r w:rsidRPr="0021217F">
              <w:rPr>
                <w:rFonts w:eastAsia="宋体"/>
                <w:i/>
                <w:lang w:val="x-none" w:eastAsia="zh-CN"/>
              </w:rPr>
              <w:t>simultaneousRxTxInterBandCA</w:t>
            </w:r>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r w:rsidRPr="0021217F">
              <w:rPr>
                <w:rFonts w:eastAsia="宋体"/>
                <w:i/>
                <w:lang w:val="x-none" w:eastAsia="zh-CN"/>
              </w:rPr>
              <w:t>simultaneousRxTxInterBandCA</w:t>
            </w:r>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within a band. It is also our understanding that </w:t>
            </w:r>
            <w:r w:rsidRPr="00A57158">
              <w:rPr>
                <w:rFonts w:ascii="Arial" w:hAnsi="Arial" w:cs="Arial"/>
                <w:lang w:val="en-US" w:eastAsia="zh-CN"/>
              </w:rPr>
              <w:t>Rel-16 half-duplex operation in TDD CA is applicable to TDD intra-band CA and TDD CCs in inter-band CA with half-duplex constraint.</w:t>
            </w:r>
            <w:r>
              <w:rPr>
                <w:rFonts w:ascii="Arial" w:hAnsi="Arial" w:cs="Arial" w:hint="eastAsia"/>
                <w:lang w:val="en-US" w:eastAsia="zh-CN"/>
              </w:rPr>
              <w:t xml:space="preserve"> Therefore, it is unclear to us why </w:t>
            </w:r>
            <w:r w:rsidRPr="0021217F">
              <w:rPr>
                <w:rFonts w:eastAsia="宋体"/>
                <w:i/>
                <w:lang w:val="x-none" w:eastAsia="zh-CN"/>
              </w:rPr>
              <w:t>simultaneousRxTxInterBandCA</w:t>
            </w:r>
            <w:r>
              <w:rPr>
                <w:rFonts w:ascii="Arial" w:hAnsi="Arial" w:cs="Arial" w:hint="eastAsia"/>
                <w:lang w:val="en-US" w:eastAsia="zh-CN"/>
              </w:rPr>
              <w:t xml:space="preserve"> should be a prerequisite of </w:t>
            </w:r>
            <w:r w:rsidRPr="001E7482">
              <w:rPr>
                <w:rFonts w:eastAsia="宋体"/>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lastRenderedPageBreak/>
              <w:t xml:space="preserve">Between the two alternatives, we prefer Alt 1 in principle for simplicity. Based on the clarification related to </w:t>
            </w:r>
            <w:r w:rsidRPr="0021217F">
              <w:rPr>
                <w:rFonts w:eastAsia="宋体"/>
                <w:i/>
                <w:lang w:val="x-none" w:eastAsia="zh-CN"/>
              </w:rPr>
              <w:t>simultaneousRxTxInterBandCA</w:t>
            </w:r>
            <w:r>
              <w:rPr>
                <w:rFonts w:ascii="Arial" w:hAnsi="Arial" w:cs="Arial" w:hint="eastAsia"/>
                <w:lang w:val="en-US" w:eastAsia="zh-CN"/>
              </w:rPr>
              <w:t xml:space="preserve">, for example, if a UE can report </w:t>
            </w:r>
            <w:r w:rsidRPr="001E7482">
              <w:rPr>
                <w:rFonts w:eastAsia="宋体"/>
                <w:i/>
                <w:lang w:val="x-none" w:eastAsia="zh-CN"/>
              </w:rPr>
              <w:t>half-DuplexTDD-CA-SameSCS-r16</w:t>
            </w:r>
            <w:r>
              <w:rPr>
                <w:rFonts w:eastAsia="宋体" w:hint="eastAsia"/>
                <w:i/>
                <w:lang w:val="x-none" w:eastAsia="zh-CN"/>
              </w:rPr>
              <w:t xml:space="preserve"> </w:t>
            </w:r>
            <w:r>
              <w:rPr>
                <w:rFonts w:ascii="Arial" w:hAnsi="Arial" w:cs="Arial" w:hint="eastAsia"/>
                <w:lang w:val="en-US" w:eastAsia="zh-CN"/>
              </w:rPr>
              <w:t xml:space="preserve">even if it supports </w:t>
            </w:r>
            <w:r w:rsidRPr="0021217F">
              <w:rPr>
                <w:rFonts w:eastAsia="宋体"/>
                <w:i/>
                <w:lang w:val="x-none" w:eastAsia="zh-CN"/>
              </w:rPr>
              <w:t>simultaneousRxTxInterBandCA</w:t>
            </w:r>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 between different bands.</w:t>
            </w:r>
          </w:p>
        </w:tc>
      </w:tr>
      <w:tr w:rsidR="00A55849" w:rsidRPr="00BA6870" w14:paraId="38CF077B" w14:textId="77777777" w:rsidTr="0021217F">
        <w:trPr>
          <w:trHeight w:val="450"/>
        </w:trPr>
        <w:tc>
          <w:tcPr>
            <w:tcW w:w="1838" w:type="dxa"/>
          </w:tcPr>
          <w:p w14:paraId="42C47C80" w14:textId="01AAA3AF" w:rsidR="00A55849" w:rsidRPr="005B42BD" w:rsidRDefault="005B42BD"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Z</w:t>
            </w:r>
            <w:r>
              <w:rPr>
                <w:rFonts w:ascii="Arial" w:hAnsi="Arial" w:cs="Arial"/>
                <w:lang w:val="en-US" w:eastAsia="zh-CN"/>
              </w:rPr>
              <w:t>TE</w:t>
            </w:r>
          </w:p>
        </w:tc>
        <w:tc>
          <w:tcPr>
            <w:tcW w:w="7938" w:type="dxa"/>
            <w:shd w:val="clear" w:color="auto" w:fill="auto"/>
          </w:tcPr>
          <w:p w14:paraId="7E26A7B6" w14:textId="106DA4E1" w:rsid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the RAN2 signaling structure support</w:t>
            </w:r>
            <w:r w:rsidR="00A562E7">
              <w:rPr>
                <w:rFonts w:ascii="Arial" w:hAnsi="Arial" w:cs="Arial"/>
                <w:lang w:val="en-US" w:eastAsia="zh-CN"/>
              </w:rPr>
              <w:t>s</w:t>
            </w:r>
            <w:r>
              <w:rPr>
                <w:rFonts w:ascii="Arial" w:hAnsi="Arial" w:cs="Arial"/>
                <w:lang w:val="en-US" w:eastAsia="zh-CN"/>
              </w:rPr>
              <w:t xml:space="preserve"> Alt.2 kind of configuration. Not sure whether we need to put the restriction to reduce the configuration flexibility. </w:t>
            </w:r>
          </w:p>
          <w:p w14:paraId="4EEB3782" w14:textId="77777777" w:rsidR="005B42BD" w:rsidRDefault="005B42BD" w:rsidP="005B42BD">
            <w:pPr>
              <w:overflowPunct/>
              <w:autoSpaceDE/>
              <w:autoSpaceDN/>
              <w:adjustRightInd/>
              <w:spacing w:after="0"/>
              <w:textAlignment w:val="auto"/>
              <w:rPr>
                <w:rFonts w:ascii="Arial" w:hAnsi="Arial" w:cs="Arial"/>
                <w:lang w:val="en-US" w:eastAsia="zh-CN"/>
              </w:rPr>
            </w:pPr>
          </w:p>
          <w:p w14:paraId="06E92221" w14:textId="31ACD81A" w:rsidR="00A55849" w:rsidRP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lang w:val="en-US" w:eastAsia="zh-CN"/>
              </w:rPr>
              <w:t>But anyway, we are ok with Alt.1 if majority companies prefer Alt.1 in Rel-16.</w:t>
            </w:r>
          </w:p>
        </w:tc>
      </w:tr>
      <w:tr w:rsidR="00CA1BE6" w:rsidRPr="00CA1BE6" w14:paraId="2DC7B69F" w14:textId="77777777" w:rsidTr="0021217F">
        <w:trPr>
          <w:trHeight w:val="450"/>
        </w:trPr>
        <w:tc>
          <w:tcPr>
            <w:tcW w:w="1838" w:type="dxa"/>
          </w:tcPr>
          <w:p w14:paraId="795EDC10" w14:textId="00CA61A7" w:rsidR="00CA1BE6" w:rsidRPr="00A56858" w:rsidRDefault="00CA1BE6" w:rsidP="00CA1BE6">
            <w:pPr>
              <w:overflowPunct/>
              <w:autoSpaceDE/>
              <w:autoSpaceDN/>
              <w:adjustRightInd/>
              <w:textAlignment w:val="auto"/>
              <w:rPr>
                <w:rFonts w:ascii="Arial" w:eastAsia="Times New Roman" w:hAnsi="Arial" w:cs="Arial"/>
                <w:lang w:val="en-US" w:eastAsia="en-US"/>
              </w:rPr>
            </w:pPr>
            <w:r>
              <w:rPr>
                <w:rFonts w:ascii="Arial" w:hAnsi="Arial" w:cs="Arial" w:hint="eastAsia"/>
                <w:lang w:val="en-US" w:eastAsia="zh-CN"/>
              </w:rPr>
              <w:t>H</w:t>
            </w:r>
            <w:r>
              <w:rPr>
                <w:rFonts w:ascii="Arial" w:hAnsi="Arial" w:cs="Arial"/>
                <w:lang w:val="en-US" w:eastAsia="zh-CN"/>
              </w:rPr>
              <w:t>uawei, HiSilicon</w:t>
            </w:r>
          </w:p>
        </w:tc>
        <w:tc>
          <w:tcPr>
            <w:tcW w:w="7938" w:type="dxa"/>
            <w:shd w:val="clear" w:color="auto" w:fill="auto"/>
          </w:tcPr>
          <w:p w14:paraId="6F10E921" w14:textId="02872D59"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The alts are not strictly </w:t>
            </w:r>
            <w:r w:rsidRPr="00F00678">
              <w:rPr>
                <w:rFonts w:ascii="Arial" w:hAnsi="Arial" w:cs="Arial"/>
                <w:lang w:val="en-US" w:eastAsia="zh-CN"/>
              </w:rPr>
              <w:t>exclusive</w:t>
            </w:r>
            <w:r>
              <w:rPr>
                <w:rFonts w:ascii="Arial" w:hAnsi="Arial" w:cs="Arial"/>
                <w:lang w:val="en-US" w:eastAsia="zh-CN"/>
              </w:rPr>
              <w:t xml:space="preserve">. Alt 1 is talking about applicability while Alt 2 is talking about configuration granularity. It is feasible that network can choose to configure some cells within a cell group, while the applicability is applied to all cells. </w:t>
            </w:r>
          </w:p>
          <w:p w14:paraId="76CC904C" w14:textId="77777777" w:rsidR="00CA1BE6" w:rsidRDefault="00CA1BE6" w:rsidP="00CA1BE6">
            <w:pPr>
              <w:overflowPunct/>
              <w:autoSpaceDE/>
              <w:autoSpaceDN/>
              <w:adjustRightInd/>
              <w:spacing w:after="0"/>
              <w:textAlignment w:val="auto"/>
              <w:rPr>
                <w:rFonts w:ascii="Arial" w:hAnsi="Arial" w:cs="Arial"/>
                <w:lang w:val="en-US" w:eastAsia="zh-CN"/>
              </w:rPr>
            </w:pPr>
          </w:p>
          <w:p w14:paraId="20C89BFD" w14:textId="77777777"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From the operation point of view, it can be clarified that network can configure some or all cells with the RRC parameter (e.g. for signalling overhead reduction purpose), while the UE expects that collision handling is applied to all cells within the cell group. In detail,</w:t>
            </w:r>
          </w:p>
          <w:p w14:paraId="726BBC1E" w14:textId="77777777" w:rsidR="00CA1BE6" w:rsidRDefault="00CA1BE6" w:rsidP="00CA1BE6">
            <w:pPr>
              <w:pStyle w:val="af7"/>
              <w:numPr>
                <w:ilvl w:val="0"/>
                <w:numId w:val="39"/>
              </w:numPr>
              <w:overflowPunct/>
              <w:autoSpaceDE/>
              <w:autoSpaceDN/>
              <w:adjustRightInd/>
              <w:textAlignment w:val="auto"/>
              <w:rPr>
                <w:rFonts w:ascii="Arial" w:hAnsi="Arial" w:cs="Arial"/>
                <w:sz w:val="20"/>
                <w:lang w:val="en-US" w:eastAsia="zh-CN"/>
              </w:rPr>
            </w:pPr>
            <w:r w:rsidRPr="0002667E">
              <w:rPr>
                <w:rFonts w:ascii="Arial" w:hAnsi="Arial" w:cs="Arial"/>
                <w:sz w:val="20"/>
                <w:lang w:val="en-US" w:eastAsia="zh-CN"/>
              </w:rPr>
              <w:t>For Alt 1, no RAN1 specification change required except for correction on RRC name. However, RAN2 specification change may be required.</w:t>
            </w:r>
          </w:p>
          <w:p w14:paraId="2BD3EB33" w14:textId="77777777" w:rsidR="00CA1BE6" w:rsidRDefault="00CA1BE6" w:rsidP="00CA1BE6">
            <w:pPr>
              <w:pStyle w:val="af7"/>
              <w:numPr>
                <w:ilvl w:val="0"/>
                <w:numId w:val="39"/>
              </w:numPr>
              <w:overflowPunct/>
              <w:autoSpaceDE/>
              <w:autoSpaceDN/>
              <w:adjustRightInd/>
              <w:textAlignment w:val="auto"/>
              <w:rPr>
                <w:rFonts w:ascii="Arial" w:hAnsi="Arial" w:cs="Arial"/>
                <w:sz w:val="20"/>
                <w:lang w:val="en-US" w:eastAsia="zh-CN"/>
              </w:rPr>
            </w:pPr>
            <w:r w:rsidRPr="00CA1BE6">
              <w:rPr>
                <w:rFonts w:ascii="Arial" w:hAnsi="Arial" w:cs="Arial"/>
                <w:sz w:val="20"/>
                <w:lang w:val="en-US" w:eastAsia="zh-CN"/>
              </w:rPr>
              <w:t xml:space="preserve">For Alt 2, there is no need to change RAN2 specifications and there is signalling overhead reduction since gNB does not need to configure all cells. However, from UE perspective, the behavior would likely be the same as UE would expect that gNB ensure no collision between the cells configured with the parameter and the cells not configured with; otherwise it is up to UE how to handle the collision. </w:t>
            </w:r>
          </w:p>
          <w:p w14:paraId="204B1247" w14:textId="77777777" w:rsidR="00CA1BE6" w:rsidRDefault="00CA1BE6" w:rsidP="00CA1BE6">
            <w:pPr>
              <w:overflowPunct/>
              <w:autoSpaceDE/>
              <w:autoSpaceDN/>
              <w:adjustRightInd/>
              <w:textAlignment w:val="auto"/>
              <w:rPr>
                <w:rFonts w:ascii="Arial" w:hAnsi="Arial" w:cs="Arial"/>
                <w:lang w:val="en-US" w:eastAsia="zh-CN"/>
              </w:rPr>
            </w:pPr>
          </w:p>
          <w:p w14:paraId="472D3E9C" w14:textId="1A48D4EF" w:rsidR="00CA1BE6" w:rsidRPr="00CA1BE6" w:rsidRDefault="00CA1BE6" w:rsidP="00CA1BE6">
            <w:pPr>
              <w:overflowPunct/>
              <w:autoSpaceDE/>
              <w:autoSpaceDN/>
              <w:adjustRightInd/>
              <w:textAlignment w:val="auto"/>
              <w:rPr>
                <w:rFonts w:ascii="Arial" w:hAnsi="Arial" w:cs="Arial" w:hint="eastAsia"/>
                <w:lang w:val="en-US" w:eastAsia="zh-CN"/>
              </w:rPr>
            </w:pPr>
            <w:r>
              <w:rPr>
                <w:rFonts w:ascii="Arial" w:hAnsi="Arial" w:cs="Arial" w:hint="eastAsia"/>
                <w:lang w:val="en-US" w:eastAsia="zh-CN"/>
              </w:rPr>
              <w:t>R</w:t>
            </w:r>
            <w:r>
              <w:rPr>
                <w:rFonts w:ascii="Arial" w:hAnsi="Arial" w:cs="Arial"/>
                <w:lang w:val="en-US" w:eastAsia="zh-CN"/>
              </w:rPr>
              <w:t xml:space="preserve">egarding CATT question, our </w:t>
            </w:r>
            <w:bookmarkStart w:id="5" w:name="_GoBack"/>
            <w:bookmarkEnd w:id="5"/>
            <w:r>
              <w:rPr>
                <w:rFonts w:ascii="Arial" w:hAnsi="Arial" w:cs="Arial"/>
                <w:lang w:val="en-US" w:eastAsia="zh-CN"/>
              </w:rPr>
              <w:t xml:space="preserve">view is that </w:t>
            </w:r>
            <w:r w:rsidRPr="00A57158">
              <w:rPr>
                <w:rFonts w:ascii="Arial" w:hAnsi="Arial" w:cs="Arial"/>
                <w:lang w:val="en-US" w:eastAsia="zh-CN"/>
              </w:rPr>
              <w:t xml:space="preserve">Rel-16 half-duplex operation </w:t>
            </w:r>
            <w:r>
              <w:rPr>
                <w:rFonts w:ascii="Arial" w:hAnsi="Arial" w:cs="Arial"/>
                <w:lang w:val="en-US" w:eastAsia="zh-CN"/>
              </w:rPr>
              <w:t xml:space="preserve">does not apply to </w:t>
            </w:r>
            <w:r w:rsidRPr="00A57158">
              <w:rPr>
                <w:rFonts w:ascii="Arial" w:hAnsi="Arial" w:cs="Arial"/>
                <w:lang w:val="en-US" w:eastAsia="zh-CN"/>
              </w:rPr>
              <w:t xml:space="preserve">intra-band </w:t>
            </w:r>
            <w:r>
              <w:rPr>
                <w:rFonts w:ascii="Arial" w:hAnsi="Arial" w:cs="Arial"/>
                <w:lang w:val="en-US" w:eastAsia="zh-CN"/>
              </w:rPr>
              <w:t xml:space="preserve">TDD </w:t>
            </w:r>
            <w:r w:rsidRPr="00A57158">
              <w:rPr>
                <w:rFonts w:ascii="Arial" w:hAnsi="Arial" w:cs="Arial"/>
                <w:lang w:val="en-US" w:eastAsia="zh-CN"/>
              </w:rPr>
              <w:t>CA</w:t>
            </w:r>
            <w:r>
              <w:rPr>
                <w:rFonts w:ascii="Arial" w:hAnsi="Arial" w:cs="Arial"/>
                <w:lang w:val="en-US" w:eastAsia="zh-CN"/>
              </w:rPr>
              <w:t>.</w:t>
            </w: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1"/>
        <w:rPr>
          <w:rStyle w:val="1Char"/>
        </w:rPr>
      </w:pPr>
      <w:bookmarkStart w:id="6" w:name="_Toc62031204"/>
      <w:r>
        <w:rPr>
          <w:rStyle w:val="1Char"/>
        </w:rPr>
        <w:t>4</w:t>
      </w:r>
      <w:r w:rsidR="00BA6870">
        <w:rPr>
          <w:rStyle w:val="1Char"/>
        </w:rPr>
        <w:tab/>
      </w:r>
      <w:r w:rsidR="00C413D0">
        <w:rPr>
          <w:rStyle w:val="1Char"/>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2CAD5" w14:textId="77777777" w:rsidR="00C57B30" w:rsidRDefault="00C57B30">
      <w:r>
        <w:separator/>
      </w:r>
    </w:p>
  </w:endnote>
  <w:endnote w:type="continuationSeparator" w:id="0">
    <w:p w14:paraId="174E388E" w14:textId="77777777" w:rsidR="00C57B30" w:rsidRDefault="00C5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A1BE6">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A1BE6">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097C" w14:textId="77777777" w:rsidR="00C57B30" w:rsidRDefault="00C57B30">
      <w:r>
        <w:separator/>
      </w:r>
    </w:p>
  </w:footnote>
  <w:footnote w:type="continuationSeparator" w:id="0">
    <w:p w14:paraId="53CB3954" w14:textId="77777777" w:rsidR="00C57B30" w:rsidRDefault="00C5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0014F"/>
    <w:multiLevelType w:val="hybridMultilevel"/>
    <w:tmpl w:val="0968525E"/>
    <w:lvl w:ilvl="0" w:tplc="6A96822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20E7C"/>
    <w:multiLevelType w:val="hybridMultilevel"/>
    <w:tmpl w:val="A9302D34"/>
    <w:lvl w:ilvl="0" w:tplc="93ACA80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0"/>
  </w:num>
  <w:num w:numId="4">
    <w:abstractNumId w:val="24"/>
  </w:num>
  <w:num w:numId="5">
    <w:abstractNumId w:val="25"/>
  </w:num>
  <w:num w:numId="6">
    <w:abstractNumId w:val="26"/>
  </w:num>
  <w:num w:numId="7">
    <w:abstractNumId w:val="9"/>
  </w:num>
  <w:num w:numId="8">
    <w:abstractNumId w:val="10"/>
  </w:num>
  <w:num w:numId="9">
    <w:abstractNumId w:val="6"/>
  </w:num>
  <w:num w:numId="10">
    <w:abstractNumId w:val="35"/>
  </w:num>
  <w:num w:numId="11">
    <w:abstractNumId w:val="16"/>
  </w:num>
  <w:num w:numId="12">
    <w:abstractNumId w:val="33"/>
  </w:num>
  <w:num w:numId="13">
    <w:abstractNumId w:val="17"/>
    <w:lvlOverride w:ilvl="0">
      <w:startOverride w:val="1"/>
    </w:lvlOverride>
  </w:num>
  <w:num w:numId="14">
    <w:abstractNumId w:val="31"/>
  </w:num>
  <w:num w:numId="15">
    <w:abstractNumId w:val="32"/>
  </w:num>
  <w:num w:numId="16">
    <w:abstractNumId w:val="7"/>
  </w:num>
  <w:num w:numId="17">
    <w:abstractNumId w:val="36"/>
  </w:num>
  <w:num w:numId="18">
    <w:abstractNumId w:val="14"/>
  </w:num>
  <w:num w:numId="19">
    <w:abstractNumId w:val="21"/>
  </w:num>
  <w:num w:numId="20">
    <w:abstractNumId w:val="8"/>
  </w:num>
  <w:num w:numId="21">
    <w:abstractNumId w:val="29"/>
  </w:num>
  <w:num w:numId="22">
    <w:abstractNumId w:val="30"/>
  </w:num>
  <w:num w:numId="23">
    <w:abstractNumId w:val="27"/>
  </w:num>
  <w:num w:numId="24">
    <w:abstractNumId w:val="37"/>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4"/>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0757"/>
    <w:rsid w:val="0021217F"/>
    <w:rsid w:val="00214DA8"/>
    <w:rsid w:val="00215423"/>
    <w:rsid w:val="002158FA"/>
    <w:rsid w:val="00220600"/>
    <w:rsid w:val="00220DA2"/>
    <w:rsid w:val="002224DB"/>
    <w:rsid w:val="00223FCB"/>
    <w:rsid w:val="002252C3"/>
    <w:rsid w:val="00225C54"/>
    <w:rsid w:val="00230765"/>
    <w:rsid w:val="00230D18"/>
    <w:rsid w:val="002319E4"/>
    <w:rsid w:val="0023226A"/>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2BD"/>
    <w:rsid w:val="005B6F83"/>
    <w:rsid w:val="005C5EEA"/>
    <w:rsid w:val="005C74FB"/>
    <w:rsid w:val="005D10B9"/>
    <w:rsid w:val="005D1602"/>
    <w:rsid w:val="005D1B5F"/>
    <w:rsid w:val="005D26AA"/>
    <w:rsid w:val="005E385F"/>
    <w:rsid w:val="005E5753"/>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04A0"/>
    <w:rsid w:val="006C5EC9"/>
    <w:rsid w:val="006C6059"/>
    <w:rsid w:val="006C7522"/>
    <w:rsid w:val="006D6F08"/>
    <w:rsid w:val="006E062C"/>
    <w:rsid w:val="006E1337"/>
    <w:rsid w:val="006E1C82"/>
    <w:rsid w:val="006E28B7"/>
    <w:rsid w:val="006E2A9B"/>
    <w:rsid w:val="006E3310"/>
    <w:rsid w:val="006E4E39"/>
    <w:rsid w:val="006E565E"/>
    <w:rsid w:val="006E65EC"/>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2E7"/>
    <w:rsid w:val="00A56858"/>
    <w:rsid w:val="00A571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57B30"/>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BE6"/>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2462"/>
    <w:rsid w:val="00DE5608"/>
    <w:rsid w:val="00DE58D0"/>
    <w:rsid w:val="00DE654F"/>
    <w:rsid w:val="00DF0B6E"/>
    <w:rsid w:val="00DF15E0"/>
    <w:rsid w:val="00DF254D"/>
    <w:rsid w:val="00DF37A0"/>
    <w:rsid w:val="00DF43CF"/>
    <w:rsid w:val="00E003A9"/>
    <w:rsid w:val="00E00E8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E12482EE-EB55-4EF3-85FF-BF866756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宋体"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0B554F2-2B29-4AFE-BCBD-B29D4A03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6</Pages>
  <Words>2346</Words>
  <Characters>13375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15690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Huawei</cp:lastModifiedBy>
  <cp:revision>2</cp:revision>
  <cp:lastPrinted>2008-01-31T07:09:00Z</cp:lastPrinted>
  <dcterms:created xsi:type="dcterms:W3CDTF">2021-01-26T04:41:00Z</dcterms:created>
  <dcterms:modified xsi:type="dcterms:W3CDTF">2021-01-26T04:41:00Z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(2)zJfPIU2+xA/o7pxhCS4y58EW8VN4LKUw3Er38L0vgx37K8jtByHBO+gwZcNa7X0G3ZrKbbiZ
DW+C8Y24HgGfNlVzFjmwz+79e+tJP6PeA+MdGhQvxv5z1eJF+4WeCt8qAhx9Eat1ojNDSITr
b9mXfimQApwR0wZOjWKo31Y4MUR/JVeQHh6SikhLcomoCb1VXkJFyLB/OqzrSmdlCKl0QhKA
AUMvOZ0/JNkxjYqk6I</vt:lpwstr>
  </property>
  <property fmtid="{D5CDD505-2E9C-101B-9397-08002B2CF9AE}" pid="6" name="_2015_ms_pID_7253431">
    <vt:lpwstr>NYuGiGmKPckl06P5V7OJ+nSHYg3YPzBab9SUYwDDHVo8M52AgTsnKS
dcmO9hqJxrTWy1tA/BwP4O1t+HUPAaNqRcK1vIs2AwEf47CpmWjUkzdnzM4bJa5KtnKut0b7
ybd4vpNfu1TbNhthkNA5V+h1nnyi7Gyho6sF6Z31e4CfOy4qDAJ55KH+9ThaJ3kItnhLih9V
ezHUZg8+nOfcArq0</vt:lpwstr>
  </property>
</Properties>
</file>