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bookmarkStart w:id="4" w:name="_Hlk49153407"/>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bookmarkEnd w:id="4"/>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DengXian"/>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DengXian"/>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DengXian"/>
                <w:lang w:eastAsia="zh-CN"/>
              </w:rPr>
              <w:t xml:space="preserve">We agree RAN2 confirmation. It seems </w:t>
            </w:r>
            <w:r>
              <w:rPr>
                <w:rFonts w:eastAsia="DengXian"/>
                <w:lang w:eastAsia="zh-CN"/>
              </w:rPr>
              <w:t xml:space="preserve">RAN1 has no chioce and </w:t>
            </w:r>
            <w:r w:rsidRPr="001855A7">
              <w:rPr>
                <w:rFonts w:eastAsia="DengXian"/>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DengXian"/>
                <w:lang w:val="en-GB" w:eastAsia="zh-CN"/>
              </w:rPr>
            </w:pPr>
            <w:r>
              <w:rPr>
                <w:rFonts w:eastAsia="DengXian"/>
                <w:lang w:val="en-GB" w:eastAsia="zh-CN"/>
              </w:rPr>
              <w:t>Ericsson</w:t>
            </w:r>
          </w:p>
        </w:tc>
        <w:tc>
          <w:tcPr>
            <w:tcW w:w="1832" w:type="dxa"/>
          </w:tcPr>
          <w:p w14:paraId="69336FF1" w14:textId="6CAF7A47" w:rsidR="00696DCB" w:rsidRPr="001855A7" w:rsidRDefault="00696DCB" w:rsidP="0042487F">
            <w:pPr>
              <w:keepNext/>
              <w:keepLines/>
              <w:jc w:val="both"/>
              <w:rPr>
                <w:rFonts w:eastAsia="DengXian"/>
                <w:lang w:eastAsia="zh-CN"/>
              </w:rPr>
            </w:pPr>
            <w:r>
              <w:rPr>
                <w:rFonts w:eastAsia="DengXian"/>
                <w:lang w:eastAsia="zh-CN"/>
              </w:rPr>
              <w:t>Ok</w:t>
            </w:r>
          </w:p>
        </w:tc>
        <w:tc>
          <w:tcPr>
            <w:tcW w:w="6603" w:type="dxa"/>
          </w:tcPr>
          <w:p w14:paraId="755A5AA5" w14:textId="0E01CC25" w:rsidR="00696DCB" w:rsidRPr="001855A7" w:rsidRDefault="00696DCB" w:rsidP="004142A3">
            <w:pPr>
              <w:keepNext/>
              <w:keepLines/>
              <w:jc w:val="both"/>
              <w:rPr>
                <w:rFonts w:eastAsia="DengXian"/>
                <w:lang w:eastAsia="zh-CN"/>
              </w:rPr>
            </w:pPr>
            <w:r w:rsidRPr="00696DCB">
              <w:rPr>
                <w:rFonts w:eastAsia="DengXian"/>
                <w:lang w:eastAsia="zh-CN"/>
              </w:rPr>
              <w:t>UE capability discussion</w:t>
            </w:r>
            <w:r w:rsidR="00AA5EF1">
              <w:rPr>
                <w:rFonts w:eastAsia="DengXian"/>
                <w:lang w:eastAsia="zh-CN"/>
              </w:rPr>
              <w:t>s</w:t>
            </w:r>
            <w:r w:rsidRPr="00696DCB">
              <w:rPr>
                <w:rFonts w:eastAsia="DengXian"/>
                <w:lang w:eastAsia="zh-CN"/>
              </w:rPr>
              <w:t xml:space="preserve"> can usually be handled towards the end of the release (as part of the UE feature list to RAN2),</w:t>
            </w:r>
            <w:r>
              <w:rPr>
                <w:rFonts w:eastAsia="DengXian"/>
                <w:lang w:eastAsia="zh-CN"/>
              </w:rPr>
              <w:t xml:space="preserve"> but if </w:t>
            </w:r>
            <w:r w:rsidRPr="00696DCB">
              <w:rPr>
                <w:rFonts w:eastAsia="DengXian"/>
                <w:lang w:eastAsia="zh-CN"/>
              </w:rPr>
              <w:t xml:space="preserve">appears to be </w:t>
            </w:r>
            <w:r>
              <w:rPr>
                <w:rFonts w:eastAsia="DengXian"/>
                <w:lang w:eastAsia="zh-CN"/>
              </w:rPr>
              <w:t xml:space="preserve">a </w:t>
            </w:r>
            <w:r w:rsidRPr="00696DCB">
              <w:rPr>
                <w:rFonts w:eastAsia="DengXian"/>
                <w:lang w:eastAsia="zh-CN"/>
              </w:rPr>
              <w:t>possible consensus early on</w:t>
            </w:r>
            <w:r>
              <w:rPr>
                <w:rFonts w:eastAsia="DengXian"/>
                <w:lang w:eastAsia="zh-CN"/>
              </w:rPr>
              <w:t>, then we can be ok with the Working Assumption.</w:t>
            </w:r>
          </w:p>
        </w:tc>
      </w:tr>
      <w:tr w:rsidR="00C0032F" w14:paraId="04C69E1E" w14:textId="77777777" w:rsidTr="0042487F">
        <w:tc>
          <w:tcPr>
            <w:tcW w:w="1194" w:type="dxa"/>
          </w:tcPr>
          <w:p w14:paraId="7775BADD" w14:textId="4AEC1C7C" w:rsidR="00C0032F" w:rsidRDefault="00C0032F" w:rsidP="0042487F">
            <w:pPr>
              <w:keepNext/>
              <w:keepLines/>
              <w:jc w:val="both"/>
              <w:rPr>
                <w:rFonts w:eastAsia="DengXian"/>
                <w:lang w:eastAsia="zh-CN"/>
              </w:rPr>
            </w:pPr>
            <w:r>
              <w:rPr>
                <w:rFonts w:eastAsia="DengXian"/>
                <w:lang w:eastAsia="zh-CN"/>
              </w:rPr>
              <w:t>Nokia</w:t>
            </w:r>
          </w:p>
        </w:tc>
        <w:tc>
          <w:tcPr>
            <w:tcW w:w="1832" w:type="dxa"/>
          </w:tcPr>
          <w:p w14:paraId="7A8EA40C" w14:textId="2999B584" w:rsidR="00C0032F" w:rsidRDefault="00C0032F" w:rsidP="0042487F">
            <w:pPr>
              <w:keepNext/>
              <w:keepLines/>
              <w:jc w:val="both"/>
              <w:rPr>
                <w:rFonts w:eastAsia="DengXian"/>
                <w:lang w:eastAsia="zh-CN"/>
              </w:rPr>
            </w:pPr>
            <w:r>
              <w:rPr>
                <w:rFonts w:eastAsia="DengXian"/>
                <w:lang w:eastAsia="zh-CN"/>
              </w:rPr>
              <w:t>Ok</w:t>
            </w:r>
          </w:p>
        </w:tc>
        <w:tc>
          <w:tcPr>
            <w:tcW w:w="6603" w:type="dxa"/>
          </w:tcPr>
          <w:p w14:paraId="4D3852A0" w14:textId="33E45A88" w:rsidR="00C0032F" w:rsidRPr="00696DCB" w:rsidRDefault="008F04E7" w:rsidP="004142A3">
            <w:pPr>
              <w:keepNext/>
              <w:keepLines/>
              <w:jc w:val="both"/>
              <w:rPr>
                <w:rFonts w:eastAsia="DengXian"/>
                <w:lang w:eastAsia="zh-CN"/>
              </w:rPr>
            </w:pPr>
            <w:r>
              <w:rPr>
                <w:rFonts w:eastAsia="DengXian"/>
                <w:lang w:eastAsia="zh-CN"/>
              </w:rPr>
              <w:t>Fine with the WA.</w:t>
            </w:r>
          </w:p>
        </w:tc>
      </w:tr>
      <w:tr w:rsidR="00080AE1" w14:paraId="1CAF6FAB" w14:textId="77777777" w:rsidTr="0042487F">
        <w:tc>
          <w:tcPr>
            <w:tcW w:w="1194" w:type="dxa"/>
          </w:tcPr>
          <w:p w14:paraId="40294535" w14:textId="08B917B7" w:rsidR="00080AE1" w:rsidRDefault="00080AE1" w:rsidP="0042487F">
            <w:pPr>
              <w:keepNext/>
              <w:keepLines/>
              <w:jc w:val="both"/>
              <w:rPr>
                <w:rFonts w:eastAsia="DengXian"/>
                <w:lang w:eastAsia="zh-CN"/>
              </w:rPr>
            </w:pPr>
            <w:r>
              <w:rPr>
                <w:rFonts w:eastAsia="DengXian" w:hint="eastAsia"/>
                <w:lang w:eastAsia="zh-CN"/>
              </w:rPr>
              <w:t>H</w:t>
            </w:r>
            <w:r>
              <w:rPr>
                <w:rFonts w:eastAsia="DengXian"/>
                <w:lang w:eastAsia="zh-CN"/>
              </w:rPr>
              <w:t>uawei, HiSilicon</w:t>
            </w:r>
          </w:p>
        </w:tc>
        <w:tc>
          <w:tcPr>
            <w:tcW w:w="1832" w:type="dxa"/>
          </w:tcPr>
          <w:p w14:paraId="0A50D547" w14:textId="67EBBFEA" w:rsidR="00080AE1" w:rsidRDefault="00080AE1" w:rsidP="0042487F">
            <w:pPr>
              <w:keepNext/>
              <w:keepLines/>
              <w:jc w:val="both"/>
              <w:rPr>
                <w:rFonts w:eastAsia="DengXian"/>
                <w:lang w:eastAsia="zh-CN"/>
              </w:rPr>
            </w:pPr>
            <w:r>
              <w:rPr>
                <w:rFonts w:eastAsia="DengXian" w:hint="eastAsia"/>
                <w:lang w:eastAsia="zh-CN"/>
              </w:rPr>
              <w:t>OK</w:t>
            </w:r>
            <w:r>
              <w:rPr>
                <w:rFonts w:eastAsia="DengXian"/>
                <w:lang w:eastAsia="zh-CN"/>
              </w:rPr>
              <w:t xml:space="preserve"> (see comments)</w:t>
            </w:r>
          </w:p>
        </w:tc>
        <w:tc>
          <w:tcPr>
            <w:tcW w:w="6603" w:type="dxa"/>
          </w:tcPr>
          <w:p w14:paraId="5A12C228" w14:textId="79587B3C" w:rsidR="00080AE1" w:rsidRDefault="00080AE1" w:rsidP="00152025">
            <w:pPr>
              <w:keepNext/>
              <w:keepLines/>
              <w:jc w:val="both"/>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 xml:space="preserve">have similar view as QC that we didn’t see </w:t>
            </w:r>
            <w:r w:rsidR="00152025">
              <w:rPr>
                <w:rFonts w:eastAsia="DengXian"/>
                <w:lang w:eastAsia="zh-CN"/>
              </w:rPr>
              <w:t>the</w:t>
            </w:r>
            <w:r>
              <w:rPr>
                <w:rFonts w:eastAsia="DengXian"/>
                <w:lang w:eastAsia="zh-CN"/>
              </w:rPr>
              <w:t xml:space="preserve"> necessicity for RAN2 confirmation, and it can be an agreement. In addition, it seems not to be an urgent issue for discussion at the first meeting, there’s no problem for us either if it’s discussed in feature list discussion at the end of the release.</w:t>
            </w:r>
          </w:p>
        </w:tc>
      </w:tr>
      <w:tr w:rsidR="00A6470F" w14:paraId="4EBE1637" w14:textId="77777777" w:rsidTr="0042487F">
        <w:tc>
          <w:tcPr>
            <w:tcW w:w="1194" w:type="dxa"/>
          </w:tcPr>
          <w:p w14:paraId="6367CAF0" w14:textId="3821681D" w:rsidR="00A6470F" w:rsidRDefault="00A6470F" w:rsidP="0042487F">
            <w:pPr>
              <w:keepNext/>
              <w:keepLines/>
              <w:jc w:val="both"/>
              <w:rPr>
                <w:rFonts w:eastAsia="DengXian"/>
                <w:lang w:eastAsia="zh-CN"/>
              </w:rPr>
            </w:pPr>
            <w:r>
              <w:rPr>
                <w:rFonts w:eastAsia="DengXian"/>
                <w:lang w:eastAsia="zh-CN"/>
              </w:rPr>
              <w:t>Sierra Wireless</w:t>
            </w:r>
          </w:p>
        </w:tc>
        <w:tc>
          <w:tcPr>
            <w:tcW w:w="1832" w:type="dxa"/>
          </w:tcPr>
          <w:p w14:paraId="1FE156C5" w14:textId="0EF233EA" w:rsidR="00A6470F" w:rsidRDefault="00A6470F" w:rsidP="0042487F">
            <w:pPr>
              <w:keepNext/>
              <w:keepLines/>
              <w:jc w:val="both"/>
              <w:rPr>
                <w:rFonts w:eastAsia="DengXian"/>
                <w:lang w:eastAsia="zh-CN"/>
              </w:rPr>
            </w:pPr>
            <w:r>
              <w:rPr>
                <w:rFonts w:eastAsia="DengXian"/>
                <w:lang w:eastAsia="zh-CN"/>
              </w:rPr>
              <w:t>Yes</w:t>
            </w:r>
          </w:p>
        </w:tc>
        <w:tc>
          <w:tcPr>
            <w:tcW w:w="6603" w:type="dxa"/>
          </w:tcPr>
          <w:p w14:paraId="22CA8787" w14:textId="758D7E92" w:rsidR="00A6470F" w:rsidRDefault="00A6470F" w:rsidP="00152025">
            <w:pPr>
              <w:keepNext/>
              <w:keepLines/>
              <w:jc w:val="both"/>
              <w:rPr>
                <w:rFonts w:eastAsia="DengXian"/>
                <w:lang w:eastAsia="zh-CN"/>
              </w:rPr>
            </w:pPr>
            <w:r>
              <w:rPr>
                <w:rFonts w:eastAsia="DengXian"/>
                <w:lang w:eastAsia="zh-CN"/>
              </w:rPr>
              <w:t>Same view as Qualcomm and Huawei</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5" w:name="_In-sequence_SDU_delivery"/>
      <w:bookmarkEnd w:id="5"/>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6" w:name="_Hlk48158981"/>
            <w:r w:rsidR="00DC5BCF" w:rsidRPr="00DC5BCF">
              <w:rPr>
                <w:sz w:val="20"/>
                <w:szCs w:val="20"/>
                <w:lang w:val="en-US"/>
              </w:rPr>
              <w:t>Introduce a new RRC configuration parameter to enable 14 HARQ processes.</w:t>
            </w:r>
            <w:bookmarkEnd w:id="6"/>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bookmarkStart w:id="7" w:name="_Hlk49154424"/>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6DCFE054" w14:textId="77777777" w:rsidTr="00C0032F">
        <w:tc>
          <w:tcPr>
            <w:tcW w:w="1732" w:type="dxa"/>
          </w:tcPr>
          <w:bookmarkEnd w:id="7"/>
          <w:p w14:paraId="2E61B53A" w14:textId="77777777" w:rsidR="00FA347A" w:rsidRDefault="00FA347A" w:rsidP="00DC5A64">
            <w:pPr>
              <w:jc w:val="center"/>
              <w:rPr>
                <w:b/>
                <w:bCs/>
              </w:rPr>
            </w:pPr>
            <w:r>
              <w:rPr>
                <w:b/>
                <w:bCs/>
              </w:rPr>
              <w:t>Company</w:t>
            </w:r>
          </w:p>
        </w:tc>
        <w:tc>
          <w:tcPr>
            <w:tcW w:w="1773" w:type="dxa"/>
          </w:tcPr>
          <w:p w14:paraId="7572344E" w14:textId="77777777" w:rsidR="00FA347A" w:rsidRDefault="00FA347A" w:rsidP="00DC5A64">
            <w:pPr>
              <w:jc w:val="center"/>
              <w:rPr>
                <w:b/>
                <w:bCs/>
              </w:rPr>
            </w:pPr>
            <w:r>
              <w:rPr>
                <w:b/>
                <w:bCs/>
              </w:rPr>
              <w:t>Agree?</w:t>
            </w:r>
          </w:p>
        </w:tc>
        <w:tc>
          <w:tcPr>
            <w:tcW w:w="6124" w:type="dxa"/>
          </w:tcPr>
          <w:p w14:paraId="394D840E" w14:textId="77777777" w:rsidR="00FA347A" w:rsidRDefault="00FA347A" w:rsidP="00DC5A64">
            <w:pPr>
              <w:jc w:val="center"/>
              <w:rPr>
                <w:b/>
                <w:bCs/>
              </w:rPr>
            </w:pPr>
            <w:r>
              <w:rPr>
                <w:b/>
                <w:bCs/>
              </w:rPr>
              <w:t>Comments</w:t>
            </w:r>
          </w:p>
        </w:tc>
      </w:tr>
      <w:tr w:rsidR="00B534C5" w14:paraId="0E5BFC80" w14:textId="77777777" w:rsidTr="00C0032F">
        <w:tc>
          <w:tcPr>
            <w:tcW w:w="1732" w:type="dxa"/>
          </w:tcPr>
          <w:p w14:paraId="5ADDEF26" w14:textId="56EB2C89" w:rsidR="00B534C5" w:rsidRDefault="00B534C5" w:rsidP="00B534C5">
            <w:pPr>
              <w:jc w:val="both"/>
              <w:rPr>
                <w:b/>
                <w:bCs/>
              </w:rPr>
            </w:pPr>
            <w:r w:rsidRPr="00B534C5">
              <w:t>Qualcomm</w:t>
            </w:r>
          </w:p>
        </w:tc>
        <w:tc>
          <w:tcPr>
            <w:tcW w:w="1773" w:type="dxa"/>
          </w:tcPr>
          <w:p w14:paraId="0F2C6FBB" w14:textId="74BD7F70" w:rsidR="00B534C5" w:rsidRDefault="00B534C5" w:rsidP="00B534C5">
            <w:pPr>
              <w:jc w:val="both"/>
              <w:rPr>
                <w:b/>
                <w:bCs/>
              </w:rPr>
            </w:pPr>
            <w:r w:rsidRPr="00B534C5">
              <w:t>Yes</w:t>
            </w:r>
            <w:r>
              <w:t xml:space="preserve"> (but see comments)</w:t>
            </w:r>
          </w:p>
        </w:tc>
        <w:tc>
          <w:tcPr>
            <w:tcW w:w="6124"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C0032F">
        <w:tc>
          <w:tcPr>
            <w:tcW w:w="1732" w:type="dxa"/>
          </w:tcPr>
          <w:p w14:paraId="0928B632" w14:textId="2E825F14" w:rsidR="00697CB2" w:rsidRPr="00B534C5" w:rsidRDefault="00697CB2" w:rsidP="00B534C5">
            <w:pPr>
              <w:jc w:val="both"/>
              <w:rPr>
                <w:lang w:eastAsia="zh-CN"/>
              </w:rPr>
            </w:pPr>
            <w:r>
              <w:rPr>
                <w:rFonts w:hint="eastAsia"/>
                <w:lang w:eastAsia="zh-CN"/>
              </w:rPr>
              <w:lastRenderedPageBreak/>
              <w:t>ZTE</w:t>
            </w:r>
          </w:p>
        </w:tc>
        <w:tc>
          <w:tcPr>
            <w:tcW w:w="1773" w:type="dxa"/>
          </w:tcPr>
          <w:p w14:paraId="79E24BBE" w14:textId="5A86440D" w:rsidR="00697CB2" w:rsidRPr="00B534C5" w:rsidRDefault="00697CB2" w:rsidP="00B534C5">
            <w:pPr>
              <w:jc w:val="both"/>
              <w:rPr>
                <w:lang w:eastAsia="zh-CN"/>
              </w:rPr>
            </w:pPr>
            <w:r>
              <w:rPr>
                <w:rFonts w:hint="eastAsia"/>
                <w:lang w:eastAsia="zh-CN"/>
              </w:rPr>
              <w:t>Yes</w:t>
            </w:r>
          </w:p>
        </w:tc>
        <w:tc>
          <w:tcPr>
            <w:tcW w:w="6124"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C0032F">
        <w:tc>
          <w:tcPr>
            <w:tcW w:w="1732" w:type="dxa"/>
          </w:tcPr>
          <w:p w14:paraId="1869BEBC" w14:textId="68797284" w:rsidR="007235AD" w:rsidRDefault="007235AD" w:rsidP="007235AD">
            <w:pPr>
              <w:jc w:val="both"/>
              <w:rPr>
                <w:lang w:eastAsia="zh-CN"/>
              </w:rPr>
            </w:pPr>
            <w:r w:rsidRPr="001855A7">
              <w:rPr>
                <w:rFonts w:eastAsia="DengXian"/>
                <w:lang w:eastAsia="zh-CN"/>
              </w:rPr>
              <w:t>Lenovo&amp;MotoM</w:t>
            </w:r>
          </w:p>
        </w:tc>
        <w:tc>
          <w:tcPr>
            <w:tcW w:w="1773" w:type="dxa"/>
          </w:tcPr>
          <w:p w14:paraId="2BC6ED7E" w14:textId="162B16BC" w:rsidR="007235AD" w:rsidRDefault="007235AD" w:rsidP="007235AD">
            <w:pPr>
              <w:jc w:val="both"/>
              <w:rPr>
                <w:lang w:eastAsia="zh-CN"/>
              </w:rPr>
            </w:pPr>
            <w:r w:rsidRPr="001855A7">
              <w:rPr>
                <w:rFonts w:eastAsia="DengXian"/>
                <w:lang w:eastAsia="zh-CN"/>
              </w:rPr>
              <w:t>Yes</w:t>
            </w:r>
          </w:p>
        </w:tc>
        <w:tc>
          <w:tcPr>
            <w:tcW w:w="6124" w:type="dxa"/>
          </w:tcPr>
          <w:p w14:paraId="0991C149" w14:textId="0E13E98A" w:rsidR="007235AD" w:rsidRDefault="007235AD" w:rsidP="007235AD">
            <w:pPr>
              <w:jc w:val="both"/>
              <w:rPr>
                <w:lang w:eastAsia="zh-CN"/>
              </w:rPr>
            </w:pPr>
            <w:r w:rsidRPr="001855A7">
              <w:rPr>
                <w:rFonts w:eastAsia="DengXian"/>
                <w:lang w:eastAsia="zh-CN"/>
              </w:rPr>
              <w:t xml:space="preserve">We agree RAN2 confirmation. </w:t>
            </w:r>
          </w:p>
        </w:tc>
      </w:tr>
      <w:tr w:rsidR="00696DCB" w14:paraId="42F78565" w14:textId="77777777" w:rsidTr="00C0032F">
        <w:tc>
          <w:tcPr>
            <w:tcW w:w="1732" w:type="dxa"/>
          </w:tcPr>
          <w:p w14:paraId="104F79FF" w14:textId="10F514EA" w:rsidR="00696DCB" w:rsidRPr="001855A7" w:rsidRDefault="00696DCB" w:rsidP="007235AD">
            <w:pPr>
              <w:jc w:val="both"/>
              <w:rPr>
                <w:rFonts w:eastAsia="DengXian"/>
                <w:lang w:eastAsia="zh-CN"/>
              </w:rPr>
            </w:pPr>
            <w:r>
              <w:rPr>
                <w:rFonts w:eastAsia="DengXian"/>
                <w:lang w:eastAsia="zh-CN"/>
              </w:rPr>
              <w:t>Ericsson</w:t>
            </w:r>
          </w:p>
        </w:tc>
        <w:tc>
          <w:tcPr>
            <w:tcW w:w="1773" w:type="dxa"/>
          </w:tcPr>
          <w:p w14:paraId="5407DDEA" w14:textId="3F40C907" w:rsidR="00696DCB" w:rsidRPr="001855A7" w:rsidRDefault="00696DCB" w:rsidP="007235AD">
            <w:pPr>
              <w:jc w:val="both"/>
              <w:rPr>
                <w:rFonts w:eastAsia="DengXian"/>
                <w:lang w:eastAsia="zh-CN"/>
              </w:rPr>
            </w:pPr>
            <w:r>
              <w:rPr>
                <w:rFonts w:eastAsia="DengXian"/>
                <w:lang w:eastAsia="zh-CN"/>
              </w:rPr>
              <w:t>Ok</w:t>
            </w:r>
          </w:p>
        </w:tc>
        <w:tc>
          <w:tcPr>
            <w:tcW w:w="6124" w:type="dxa"/>
          </w:tcPr>
          <w:p w14:paraId="4CD92F47" w14:textId="23671F99" w:rsidR="00696DCB" w:rsidRPr="001855A7" w:rsidRDefault="00696DCB" w:rsidP="007235AD">
            <w:pPr>
              <w:jc w:val="both"/>
              <w:rPr>
                <w:rFonts w:eastAsia="DengXian"/>
                <w:lang w:eastAsia="zh-CN"/>
              </w:rPr>
            </w:pPr>
            <w:r>
              <w:rPr>
                <w:rFonts w:eastAsia="DengXian"/>
                <w:lang w:eastAsia="zh-CN"/>
              </w:rPr>
              <w:t xml:space="preserve">These signalling aspects are typicall handled a bit later in the release, but if </w:t>
            </w:r>
            <w:r w:rsidRPr="00696DCB">
              <w:rPr>
                <w:rFonts w:eastAsia="DengXian"/>
                <w:lang w:eastAsia="zh-CN"/>
              </w:rPr>
              <w:t xml:space="preserve">appears to be possible </w:t>
            </w:r>
            <w:r>
              <w:rPr>
                <w:rFonts w:eastAsia="DengXian"/>
                <w:lang w:eastAsia="zh-CN"/>
              </w:rPr>
              <w:t xml:space="preserve">a </w:t>
            </w:r>
            <w:r w:rsidRPr="00696DCB">
              <w:rPr>
                <w:rFonts w:eastAsia="DengXian"/>
                <w:lang w:eastAsia="zh-CN"/>
              </w:rPr>
              <w:t>consensus early on</w:t>
            </w:r>
            <w:r>
              <w:rPr>
                <w:rFonts w:eastAsia="DengXian"/>
                <w:lang w:eastAsia="zh-CN"/>
              </w:rPr>
              <w:t xml:space="preserve">, then we can be ok with the Working Assumption. </w:t>
            </w:r>
          </w:p>
        </w:tc>
      </w:tr>
      <w:tr w:rsidR="00C0032F" w14:paraId="69DDA2CB" w14:textId="77777777" w:rsidTr="00C0032F">
        <w:tc>
          <w:tcPr>
            <w:tcW w:w="1732" w:type="dxa"/>
          </w:tcPr>
          <w:p w14:paraId="56E1A166" w14:textId="18A0BC95" w:rsidR="00C0032F" w:rsidRDefault="00C0032F" w:rsidP="00C0032F">
            <w:pPr>
              <w:jc w:val="both"/>
              <w:rPr>
                <w:rFonts w:eastAsia="DengXian"/>
                <w:lang w:eastAsia="zh-CN"/>
              </w:rPr>
            </w:pPr>
            <w:r>
              <w:rPr>
                <w:rFonts w:eastAsia="DengXian"/>
                <w:lang w:eastAsia="zh-CN"/>
              </w:rPr>
              <w:t>Nokia</w:t>
            </w:r>
          </w:p>
        </w:tc>
        <w:tc>
          <w:tcPr>
            <w:tcW w:w="1773" w:type="dxa"/>
          </w:tcPr>
          <w:p w14:paraId="28F9B301" w14:textId="696F7060" w:rsidR="00C0032F" w:rsidRDefault="00C0032F" w:rsidP="00C0032F">
            <w:pPr>
              <w:jc w:val="both"/>
              <w:rPr>
                <w:rFonts w:eastAsia="DengXian"/>
                <w:lang w:eastAsia="zh-CN"/>
              </w:rPr>
            </w:pPr>
            <w:r>
              <w:rPr>
                <w:rFonts w:eastAsia="DengXian"/>
                <w:lang w:eastAsia="zh-CN"/>
              </w:rPr>
              <w:t>Ok</w:t>
            </w:r>
          </w:p>
        </w:tc>
        <w:tc>
          <w:tcPr>
            <w:tcW w:w="6124" w:type="dxa"/>
          </w:tcPr>
          <w:p w14:paraId="0E54E4E3" w14:textId="7237EBEC" w:rsidR="00C0032F" w:rsidRDefault="008F04E7" w:rsidP="00C0032F">
            <w:pPr>
              <w:jc w:val="both"/>
              <w:rPr>
                <w:rFonts w:eastAsia="DengXian"/>
                <w:lang w:eastAsia="zh-CN"/>
              </w:rPr>
            </w:pPr>
            <w:r>
              <w:rPr>
                <w:rFonts w:eastAsia="DengXian"/>
                <w:lang w:eastAsia="zh-CN"/>
              </w:rPr>
              <w:t>Fine with the WA</w:t>
            </w:r>
            <w:r w:rsidR="00C0032F">
              <w:rPr>
                <w:rFonts w:eastAsia="DengXian"/>
                <w:lang w:eastAsia="zh-CN"/>
              </w:rPr>
              <w:t>.</w:t>
            </w:r>
          </w:p>
        </w:tc>
      </w:tr>
      <w:tr w:rsidR="0037113D" w14:paraId="55D8720E" w14:textId="77777777" w:rsidTr="00C0032F">
        <w:tc>
          <w:tcPr>
            <w:tcW w:w="1732" w:type="dxa"/>
          </w:tcPr>
          <w:p w14:paraId="385EDF60" w14:textId="1636F87F" w:rsidR="0037113D" w:rsidRDefault="0037113D" w:rsidP="00C0032F">
            <w:pPr>
              <w:jc w:val="both"/>
              <w:rPr>
                <w:rFonts w:eastAsia="DengXian"/>
                <w:lang w:eastAsia="zh-CN"/>
              </w:rPr>
            </w:pPr>
            <w:r>
              <w:rPr>
                <w:rFonts w:eastAsia="DengXian" w:hint="eastAsia"/>
                <w:lang w:eastAsia="zh-CN"/>
              </w:rPr>
              <w:t>Hua</w:t>
            </w:r>
            <w:r>
              <w:rPr>
                <w:rFonts w:eastAsia="DengXian"/>
                <w:lang w:eastAsia="zh-CN"/>
              </w:rPr>
              <w:t>wei, HiSilicon</w:t>
            </w:r>
          </w:p>
        </w:tc>
        <w:tc>
          <w:tcPr>
            <w:tcW w:w="1773" w:type="dxa"/>
          </w:tcPr>
          <w:p w14:paraId="2AAC3D51" w14:textId="1D9EB164" w:rsidR="0037113D" w:rsidRDefault="0037113D" w:rsidP="00C0032F">
            <w:pPr>
              <w:jc w:val="both"/>
              <w:rPr>
                <w:rFonts w:eastAsia="DengXian"/>
                <w:lang w:eastAsia="zh-CN"/>
              </w:rPr>
            </w:pPr>
            <w:r>
              <w:rPr>
                <w:rFonts w:eastAsia="DengXian"/>
                <w:lang w:eastAsia="zh-CN"/>
              </w:rPr>
              <w:t>OK ( with comments)</w:t>
            </w:r>
          </w:p>
        </w:tc>
        <w:tc>
          <w:tcPr>
            <w:tcW w:w="6124" w:type="dxa"/>
          </w:tcPr>
          <w:p w14:paraId="2CB9254B" w14:textId="2FD3C3BC" w:rsidR="0037113D" w:rsidRDefault="0037113D" w:rsidP="00152025">
            <w:pPr>
              <w:jc w:val="both"/>
              <w:rPr>
                <w:rFonts w:eastAsia="DengXian"/>
                <w:lang w:eastAsia="zh-CN"/>
              </w:rPr>
            </w:pPr>
            <w:r>
              <w:rPr>
                <w:rFonts w:eastAsia="DengXian" w:hint="eastAsia"/>
                <w:lang w:eastAsia="zh-CN"/>
              </w:rPr>
              <w:t>S</w:t>
            </w:r>
            <w:r>
              <w:rPr>
                <w:rFonts w:eastAsia="DengXian"/>
                <w:lang w:eastAsia="zh-CN"/>
              </w:rPr>
              <w:t>imilar to our comments for section 2.1, we don’t see the necessity for RAN2 confirmation, it can be an agreement.</w:t>
            </w:r>
            <w:r w:rsidR="00D10B0F">
              <w:rPr>
                <w:rFonts w:eastAsia="DengXian"/>
                <w:lang w:eastAsia="zh-CN"/>
              </w:rPr>
              <w:t xml:space="preserve"> And it</w:t>
            </w:r>
            <w:r w:rsidR="00152025">
              <w:rPr>
                <w:rFonts w:eastAsia="DengXian"/>
                <w:lang w:eastAsia="zh-CN"/>
              </w:rPr>
              <w:t xml:space="preserve"> seems</w:t>
            </w:r>
            <w:r w:rsidR="00D10B0F">
              <w:rPr>
                <w:rFonts w:eastAsia="DengXian"/>
                <w:lang w:eastAsia="zh-CN"/>
              </w:rPr>
              <w:t xml:space="preserve"> not very urgent either to discuss the signaling </w:t>
            </w:r>
            <w:r w:rsidR="00152025">
              <w:rPr>
                <w:rFonts w:eastAsia="DengXian"/>
                <w:lang w:eastAsia="zh-CN"/>
              </w:rPr>
              <w:t>at the first meeting</w:t>
            </w:r>
            <w:r w:rsidR="00D10B0F">
              <w:rPr>
                <w:rFonts w:eastAsia="DengXian"/>
                <w:lang w:eastAsia="zh-CN"/>
              </w:rPr>
              <w:t>.</w:t>
            </w:r>
          </w:p>
        </w:tc>
      </w:tr>
      <w:tr w:rsidR="00A6470F" w14:paraId="715FB855" w14:textId="77777777" w:rsidTr="00C0032F">
        <w:tc>
          <w:tcPr>
            <w:tcW w:w="1732" w:type="dxa"/>
          </w:tcPr>
          <w:p w14:paraId="4A09EE73" w14:textId="24CC138B" w:rsidR="00A6470F" w:rsidRDefault="00A6470F" w:rsidP="00A6470F">
            <w:pPr>
              <w:jc w:val="both"/>
              <w:rPr>
                <w:rFonts w:eastAsia="DengXian"/>
                <w:lang w:eastAsia="zh-CN"/>
              </w:rPr>
            </w:pPr>
            <w:r>
              <w:rPr>
                <w:rFonts w:eastAsia="DengXian"/>
                <w:lang w:eastAsia="zh-CN"/>
              </w:rPr>
              <w:t>Sierra Wireless</w:t>
            </w:r>
          </w:p>
        </w:tc>
        <w:tc>
          <w:tcPr>
            <w:tcW w:w="1773" w:type="dxa"/>
          </w:tcPr>
          <w:p w14:paraId="7A0D89F7" w14:textId="441674D1" w:rsidR="00A6470F" w:rsidRDefault="00A6470F" w:rsidP="00A6470F">
            <w:pPr>
              <w:jc w:val="both"/>
              <w:rPr>
                <w:rFonts w:eastAsia="DengXian"/>
                <w:lang w:eastAsia="zh-CN"/>
              </w:rPr>
            </w:pPr>
            <w:r>
              <w:rPr>
                <w:rFonts w:eastAsia="DengXian"/>
                <w:lang w:eastAsia="zh-CN"/>
              </w:rPr>
              <w:t>Yes</w:t>
            </w:r>
          </w:p>
        </w:tc>
        <w:tc>
          <w:tcPr>
            <w:tcW w:w="6124" w:type="dxa"/>
          </w:tcPr>
          <w:p w14:paraId="7472C0EA" w14:textId="2C8C4E0B" w:rsidR="00A6470F" w:rsidRDefault="00A6470F" w:rsidP="00A6470F">
            <w:pPr>
              <w:jc w:val="both"/>
              <w:rPr>
                <w:rFonts w:eastAsia="DengXian"/>
                <w:lang w:eastAsia="zh-CN"/>
              </w:rPr>
            </w:pPr>
            <w:r>
              <w:rPr>
                <w:rFonts w:eastAsia="DengXian"/>
                <w:lang w:eastAsia="zh-CN"/>
              </w:rPr>
              <w:t>Same view as Qualcomm and Huawei</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594"/>
        <w:gridCol w:w="1730"/>
        <w:gridCol w:w="6305"/>
      </w:tblGrid>
      <w:tr w:rsidR="003F146F" w14:paraId="1703C813" w14:textId="77777777" w:rsidTr="00A6470F">
        <w:tc>
          <w:tcPr>
            <w:tcW w:w="1594" w:type="dxa"/>
          </w:tcPr>
          <w:p w14:paraId="2B98EEF9" w14:textId="77777777" w:rsidR="003F146F" w:rsidRDefault="003F146F" w:rsidP="00DC5A64">
            <w:pPr>
              <w:jc w:val="center"/>
              <w:rPr>
                <w:b/>
                <w:bCs/>
              </w:rPr>
            </w:pPr>
            <w:r>
              <w:rPr>
                <w:b/>
                <w:bCs/>
              </w:rPr>
              <w:t>Company</w:t>
            </w:r>
          </w:p>
        </w:tc>
        <w:tc>
          <w:tcPr>
            <w:tcW w:w="1730" w:type="dxa"/>
          </w:tcPr>
          <w:p w14:paraId="251495A9" w14:textId="665E2107" w:rsidR="003F146F" w:rsidRDefault="003F146F" w:rsidP="00DC5A64">
            <w:pPr>
              <w:jc w:val="center"/>
              <w:rPr>
                <w:b/>
                <w:bCs/>
              </w:rPr>
            </w:pPr>
            <w:r>
              <w:rPr>
                <w:b/>
                <w:bCs/>
              </w:rPr>
              <w:t>Agree with Alt?</w:t>
            </w:r>
          </w:p>
        </w:tc>
        <w:tc>
          <w:tcPr>
            <w:tcW w:w="6305" w:type="dxa"/>
          </w:tcPr>
          <w:p w14:paraId="21BE27A6" w14:textId="77777777" w:rsidR="003F146F" w:rsidRDefault="003F146F" w:rsidP="00DC5A64">
            <w:pPr>
              <w:jc w:val="center"/>
              <w:rPr>
                <w:b/>
                <w:bCs/>
              </w:rPr>
            </w:pPr>
            <w:r>
              <w:rPr>
                <w:b/>
                <w:bCs/>
              </w:rPr>
              <w:t>Comments</w:t>
            </w:r>
          </w:p>
        </w:tc>
      </w:tr>
      <w:tr w:rsidR="003F146F" w14:paraId="1F0DD9BD" w14:textId="77777777" w:rsidTr="00A6470F">
        <w:tc>
          <w:tcPr>
            <w:tcW w:w="1594" w:type="dxa"/>
          </w:tcPr>
          <w:p w14:paraId="071F404C" w14:textId="5E6E7F3D" w:rsidR="003F146F" w:rsidRPr="00B534C5" w:rsidRDefault="00B534C5" w:rsidP="00DC5A64">
            <w:pPr>
              <w:jc w:val="both"/>
            </w:pPr>
            <w:r w:rsidRPr="00B534C5">
              <w:t>Qualcomm</w:t>
            </w:r>
          </w:p>
        </w:tc>
        <w:tc>
          <w:tcPr>
            <w:tcW w:w="1730" w:type="dxa"/>
          </w:tcPr>
          <w:p w14:paraId="54F24A59" w14:textId="50143EAC" w:rsidR="003F146F" w:rsidRPr="00B534C5" w:rsidRDefault="00B534C5" w:rsidP="00DC5A64">
            <w:pPr>
              <w:jc w:val="both"/>
            </w:pPr>
            <w:r w:rsidRPr="00B534C5">
              <w:t>-</w:t>
            </w:r>
          </w:p>
        </w:tc>
        <w:tc>
          <w:tcPr>
            <w:tcW w:w="6305"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lastRenderedPageBreak/>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A6470F">
        <w:tc>
          <w:tcPr>
            <w:tcW w:w="1594" w:type="dxa"/>
          </w:tcPr>
          <w:p w14:paraId="5F7CF10F" w14:textId="20E597C8" w:rsidR="00697CB2" w:rsidRPr="00697CB2" w:rsidRDefault="00697CB2" w:rsidP="00DC5A64">
            <w:pPr>
              <w:jc w:val="both"/>
              <w:rPr>
                <w:rFonts w:eastAsiaTheme="minorEastAsia"/>
                <w:lang w:eastAsia="zh-CN"/>
              </w:rPr>
            </w:pPr>
            <w:r>
              <w:rPr>
                <w:rFonts w:eastAsiaTheme="minorEastAsia"/>
              </w:rPr>
              <w:lastRenderedPageBreak/>
              <w:t>ZTE</w:t>
            </w:r>
          </w:p>
        </w:tc>
        <w:tc>
          <w:tcPr>
            <w:tcW w:w="1730" w:type="dxa"/>
          </w:tcPr>
          <w:p w14:paraId="5738C682" w14:textId="22FCA149" w:rsidR="00697CB2" w:rsidRPr="00B534C5" w:rsidRDefault="00697CB2" w:rsidP="00DC5A64">
            <w:pPr>
              <w:jc w:val="both"/>
              <w:rPr>
                <w:lang w:eastAsia="zh-CN"/>
              </w:rPr>
            </w:pPr>
            <w:r>
              <w:rPr>
                <w:rFonts w:hint="eastAsia"/>
                <w:lang w:eastAsia="zh-CN"/>
              </w:rPr>
              <w:t>-</w:t>
            </w:r>
          </w:p>
        </w:tc>
        <w:tc>
          <w:tcPr>
            <w:tcW w:w="6305"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A6470F">
        <w:tc>
          <w:tcPr>
            <w:tcW w:w="1594" w:type="dxa"/>
          </w:tcPr>
          <w:p w14:paraId="4F7BCC84" w14:textId="650B53A2" w:rsidR="00044E28" w:rsidRDefault="00044E28" w:rsidP="00044E28">
            <w:pPr>
              <w:jc w:val="both"/>
              <w:rPr>
                <w:rFonts w:eastAsiaTheme="minorEastAsia"/>
              </w:rPr>
            </w:pPr>
            <w:r w:rsidRPr="00874C34">
              <w:rPr>
                <w:rFonts w:eastAsia="DengXian" w:hint="eastAsia"/>
                <w:sz w:val="20"/>
                <w:lang w:eastAsia="zh-CN"/>
              </w:rPr>
              <w:t>L</w:t>
            </w:r>
            <w:r w:rsidRPr="00874C34">
              <w:rPr>
                <w:rFonts w:eastAsia="DengXian"/>
                <w:sz w:val="20"/>
                <w:lang w:eastAsia="zh-CN"/>
              </w:rPr>
              <w:t>enovo&amp;MotoM</w:t>
            </w:r>
          </w:p>
        </w:tc>
        <w:tc>
          <w:tcPr>
            <w:tcW w:w="1730" w:type="dxa"/>
          </w:tcPr>
          <w:p w14:paraId="5B61D0F9" w14:textId="04E05599" w:rsidR="00044E28" w:rsidRDefault="00044E28" w:rsidP="00044E28">
            <w:pPr>
              <w:jc w:val="both"/>
              <w:rPr>
                <w:lang w:eastAsia="zh-CN"/>
              </w:rPr>
            </w:pPr>
          </w:p>
        </w:tc>
        <w:tc>
          <w:tcPr>
            <w:tcW w:w="6305"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A6470F">
        <w:tc>
          <w:tcPr>
            <w:tcW w:w="1594" w:type="dxa"/>
          </w:tcPr>
          <w:p w14:paraId="58D9852A" w14:textId="77F07429" w:rsidR="00696DCB" w:rsidRPr="00874C34" w:rsidRDefault="00696DCB" w:rsidP="00044E28">
            <w:pPr>
              <w:jc w:val="both"/>
              <w:rPr>
                <w:rFonts w:eastAsia="DengXian"/>
                <w:lang w:eastAsia="zh-CN"/>
              </w:rPr>
            </w:pPr>
            <w:r>
              <w:rPr>
                <w:rFonts w:eastAsia="DengXian"/>
                <w:lang w:eastAsia="zh-CN"/>
              </w:rPr>
              <w:t>Ericsson</w:t>
            </w:r>
          </w:p>
        </w:tc>
        <w:tc>
          <w:tcPr>
            <w:tcW w:w="1730" w:type="dxa"/>
          </w:tcPr>
          <w:p w14:paraId="2BD685AF" w14:textId="4A3A7929" w:rsidR="00696DCB" w:rsidRDefault="00696DCB" w:rsidP="00044E28">
            <w:pPr>
              <w:jc w:val="both"/>
              <w:rPr>
                <w:lang w:eastAsia="zh-CN"/>
              </w:rPr>
            </w:pPr>
            <w:r>
              <w:rPr>
                <w:lang w:eastAsia="zh-CN"/>
              </w:rPr>
              <w:t>Alt 2 or Alt 3</w:t>
            </w:r>
          </w:p>
        </w:tc>
        <w:tc>
          <w:tcPr>
            <w:tcW w:w="6305"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r>
              <w:rPr>
                <w:lang w:val="en-US"/>
              </w:rPr>
              <w:t xml:space="preserve">number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r w:rsidR="00CC2403" w:rsidRPr="00CB16F2" w14:paraId="4681EEC6" w14:textId="77777777" w:rsidTr="00A6470F">
        <w:tc>
          <w:tcPr>
            <w:tcW w:w="1594" w:type="dxa"/>
          </w:tcPr>
          <w:p w14:paraId="35E05453" w14:textId="2796B623" w:rsidR="00CC2403" w:rsidRDefault="00CC2403" w:rsidP="00044E28">
            <w:pPr>
              <w:jc w:val="both"/>
              <w:rPr>
                <w:rFonts w:eastAsia="DengXian"/>
                <w:lang w:eastAsia="zh-CN"/>
              </w:rPr>
            </w:pPr>
            <w:r>
              <w:rPr>
                <w:rFonts w:eastAsia="DengXian"/>
                <w:lang w:eastAsia="zh-CN"/>
              </w:rPr>
              <w:t>Nokia</w:t>
            </w:r>
          </w:p>
        </w:tc>
        <w:tc>
          <w:tcPr>
            <w:tcW w:w="1730" w:type="dxa"/>
          </w:tcPr>
          <w:p w14:paraId="7A0FD542" w14:textId="5BD62FE2" w:rsidR="00CC2403" w:rsidRDefault="00CC2403" w:rsidP="00044E28">
            <w:pPr>
              <w:jc w:val="both"/>
              <w:rPr>
                <w:lang w:eastAsia="zh-CN"/>
              </w:rPr>
            </w:pPr>
            <w:r>
              <w:rPr>
                <w:lang w:eastAsia="zh-CN"/>
              </w:rPr>
              <w:t>-</w:t>
            </w:r>
          </w:p>
        </w:tc>
        <w:tc>
          <w:tcPr>
            <w:tcW w:w="6305" w:type="dxa"/>
          </w:tcPr>
          <w:p w14:paraId="4C752E66" w14:textId="6AE72455" w:rsidR="00CC2403" w:rsidRDefault="00CC2403" w:rsidP="00044E28">
            <w:pPr>
              <w:jc w:val="both"/>
              <w:rPr>
                <w:lang w:val="en-US"/>
              </w:rPr>
            </w:pPr>
            <w:r>
              <w:rPr>
                <w:lang w:val="en-US"/>
              </w:rPr>
              <w:t>Share the views of ZTE</w:t>
            </w:r>
          </w:p>
        </w:tc>
      </w:tr>
      <w:tr w:rsidR="003378F3" w:rsidRPr="00CB16F2" w14:paraId="413C7C5E" w14:textId="77777777" w:rsidTr="00A6470F">
        <w:tc>
          <w:tcPr>
            <w:tcW w:w="1594" w:type="dxa"/>
          </w:tcPr>
          <w:p w14:paraId="0704E495" w14:textId="58875EAF" w:rsidR="003378F3" w:rsidRDefault="003378F3" w:rsidP="00044E28">
            <w:pPr>
              <w:jc w:val="both"/>
              <w:rPr>
                <w:rFonts w:eastAsia="DengXian"/>
                <w:lang w:eastAsia="zh-CN"/>
              </w:rPr>
            </w:pPr>
            <w:r>
              <w:rPr>
                <w:rFonts w:eastAsia="DengXian" w:hint="eastAsia"/>
                <w:lang w:eastAsia="zh-CN"/>
              </w:rPr>
              <w:t>Hu</w:t>
            </w:r>
            <w:r>
              <w:rPr>
                <w:rFonts w:eastAsia="DengXian"/>
                <w:lang w:eastAsia="zh-CN"/>
              </w:rPr>
              <w:t>awei, HiSilicon</w:t>
            </w:r>
          </w:p>
        </w:tc>
        <w:tc>
          <w:tcPr>
            <w:tcW w:w="1730" w:type="dxa"/>
          </w:tcPr>
          <w:p w14:paraId="61C1D7A2" w14:textId="5C483D75" w:rsidR="003378F3" w:rsidRPr="003378F3" w:rsidRDefault="003378F3" w:rsidP="00044E28">
            <w:pPr>
              <w:jc w:val="both"/>
              <w:rPr>
                <w:rFonts w:eastAsia="DengXian"/>
                <w:lang w:eastAsia="zh-CN"/>
              </w:rPr>
            </w:pPr>
            <w:r>
              <w:rPr>
                <w:rFonts w:eastAsia="DengXian" w:hint="eastAsia"/>
                <w:lang w:eastAsia="zh-CN"/>
              </w:rPr>
              <w:t>-</w:t>
            </w:r>
          </w:p>
        </w:tc>
        <w:tc>
          <w:tcPr>
            <w:tcW w:w="6305" w:type="dxa"/>
          </w:tcPr>
          <w:p w14:paraId="4992719A" w14:textId="246AF764" w:rsidR="003378F3" w:rsidRDefault="00475933" w:rsidP="00044E28">
            <w:pPr>
              <w:jc w:val="both"/>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share similar view with ZTE that:</w:t>
            </w:r>
          </w:p>
          <w:p w14:paraId="121D0FB1"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PUCCH repetitions:</w:t>
            </w:r>
          </w:p>
          <w:p w14:paraId="7FEFBE9B" w14:textId="1FD6CCEC" w:rsidR="00865B62" w:rsidRPr="00865B62" w:rsidRDefault="00865B62" w:rsidP="00865B62">
            <w:pPr>
              <w:jc w:val="both"/>
              <w:rPr>
                <w:rFonts w:eastAsia="DengXian"/>
                <w:bCs/>
                <w:lang w:eastAsia="zh-CN"/>
              </w:rPr>
            </w:pPr>
            <w:r w:rsidRPr="00865B62">
              <w:rPr>
                <w:rFonts w:eastAsia="DengXian"/>
                <w:bCs/>
                <w:lang w:eastAsia="zh-CN"/>
              </w:rPr>
              <w:t xml:space="preserve">The 14 HARQ is used to improve the peak data rate and is suitable to be used for a UE in good coverage. The required SNR is higher, so the repetitions </w:t>
            </w:r>
            <w:r w:rsidRPr="00865B62">
              <w:rPr>
                <w:rFonts w:eastAsia="DengXian" w:hint="eastAsia"/>
                <w:bCs/>
                <w:lang w:eastAsia="zh-CN"/>
              </w:rPr>
              <w:t>f</w:t>
            </w:r>
            <w:r w:rsidRPr="00865B62">
              <w:rPr>
                <w:rFonts w:eastAsia="DengXian"/>
                <w:bCs/>
                <w:lang w:eastAsia="zh-CN"/>
              </w:rPr>
              <w:t xml:space="preserve">or all channels(PDCCH/PDSCH/PUCCH) do not need to be considered when 14 HARQ solution is designed. In addition, considering PUCCH repetition </w:t>
            </w:r>
            <w:r>
              <w:rPr>
                <w:rFonts w:eastAsia="DengXian"/>
                <w:bCs/>
                <w:lang w:eastAsia="zh-CN"/>
              </w:rPr>
              <w:t>would lead</w:t>
            </w:r>
            <w:r w:rsidRPr="00865B62">
              <w:rPr>
                <w:rFonts w:eastAsia="DengXian"/>
                <w:bCs/>
                <w:lang w:eastAsia="zh-CN"/>
              </w:rPr>
              <w:t xml:space="preserve"> to </w:t>
            </w:r>
            <w:r>
              <w:rPr>
                <w:rFonts w:eastAsia="DengXian"/>
                <w:bCs/>
                <w:lang w:eastAsia="zh-CN"/>
              </w:rPr>
              <w:t>further complexity</w:t>
            </w:r>
            <w:r w:rsidRPr="00865B62">
              <w:rPr>
                <w:rFonts w:eastAsia="DengXian"/>
                <w:bCs/>
                <w:lang w:eastAsia="zh-CN"/>
              </w:rPr>
              <w:t xml:space="preserve"> the 14 HARQ design in terms of scheduling delay and HARQ-ACK delay. </w:t>
            </w:r>
          </w:p>
          <w:p w14:paraId="2B704130"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invalid subframes and measurement gaps:</w:t>
            </w:r>
          </w:p>
          <w:p w14:paraId="647A41D5" w14:textId="250131F7" w:rsidR="00865B62" w:rsidRPr="00865B62" w:rsidRDefault="00865B62" w:rsidP="00D96B96">
            <w:pPr>
              <w:jc w:val="both"/>
              <w:rPr>
                <w:rFonts w:eastAsiaTheme="minorEastAsia"/>
                <w:lang w:val="en-US"/>
              </w:rPr>
            </w:pPr>
            <w:r w:rsidRPr="00865B62">
              <w:rPr>
                <w:rFonts w:eastAsia="DengXian" w:hint="eastAsia"/>
                <w:bCs/>
                <w:lang w:eastAsia="zh-CN"/>
              </w:rPr>
              <w:t>I</w:t>
            </w:r>
            <w:r w:rsidRPr="00865B62">
              <w:rPr>
                <w:rFonts w:eastAsia="DengXian"/>
                <w:bCs/>
                <w:lang w:eastAsia="zh-CN"/>
              </w:rPr>
              <w:t xml:space="preserve">n legacy eMTC, the DL transmmisions cannot be scheduled on the invalid subframes and measurement gaps. There is no reason to block </w:t>
            </w:r>
            <w:r w:rsidRPr="00865B62">
              <w:rPr>
                <w:rFonts w:eastAsia="DengXian"/>
                <w:bCs/>
                <w:lang w:eastAsia="zh-CN"/>
              </w:rPr>
              <w:lastRenderedPageBreak/>
              <w:t xml:space="preserve">this principle for 14 HARQ. As analysis above, 14 HARQ is used to improve the peak data rate. If the invalid subframes and measurement gaps cause </w:t>
            </w:r>
            <w:r w:rsidRPr="00865B62">
              <w:rPr>
                <w:rFonts w:eastAsia="DengXian" w:hint="eastAsia"/>
                <w:bCs/>
                <w:lang w:eastAsia="zh-CN"/>
              </w:rPr>
              <w:t>excessive</w:t>
            </w:r>
            <w:r w:rsidRPr="00865B62">
              <w:rPr>
                <w:rFonts w:eastAsia="DengXian"/>
                <w:bCs/>
                <w:lang w:eastAsia="zh-CN"/>
              </w:rPr>
              <w:t xml:space="preserve"> </w:t>
            </w:r>
            <w:hyperlink r:id="rId11" w:history="1">
              <w:r w:rsidRPr="00865B62">
                <w:rPr>
                  <w:rFonts w:eastAsia="DengXian"/>
                  <w:bCs/>
                  <w:lang w:eastAsia="zh-CN"/>
                </w:rPr>
                <w:t>growth</w:t>
              </w:r>
            </w:hyperlink>
            <w:r w:rsidRPr="00865B62">
              <w:rPr>
                <w:rFonts w:eastAsia="DengXian"/>
                <w:bCs/>
                <w:lang w:eastAsia="zh-CN"/>
              </w:rPr>
              <w:t xml:space="preserve"> of the delays, it is not a scenario for peak data rate improment. </w:t>
            </w:r>
            <w:r w:rsidRPr="00865B62">
              <w:rPr>
                <w:rFonts w:eastAsia="DengXian" w:hint="eastAsia"/>
                <w:bCs/>
                <w:lang w:eastAsia="zh-CN"/>
              </w:rPr>
              <w:t>T</w:t>
            </w:r>
            <w:r w:rsidRPr="00865B62">
              <w:rPr>
                <w:rFonts w:eastAsia="DengXian"/>
                <w:bCs/>
                <w:lang w:eastAsia="zh-CN"/>
              </w:rPr>
              <w:t>he eNB has the flexibility whether to configure 14 HARQ.</w:t>
            </w:r>
          </w:p>
        </w:tc>
      </w:tr>
      <w:tr w:rsidR="00A6470F" w:rsidRPr="00CB16F2" w14:paraId="18DB0FA5" w14:textId="77777777" w:rsidTr="00A6470F">
        <w:tc>
          <w:tcPr>
            <w:tcW w:w="1594" w:type="dxa"/>
          </w:tcPr>
          <w:p w14:paraId="538D9B40" w14:textId="0AB440E2" w:rsidR="00A6470F" w:rsidRDefault="00A6470F" w:rsidP="00A6470F">
            <w:pPr>
              <w:jc w:val="both"/>
              <w:rPr>
                <w:rFonts w:eastAsia="DengXian"/>
                <w:lang w:eastAsia="zh-CN"/>
              </w:rPr>
            </w:pPr>
            <w:r>
              <w:rPr>
                <w:rFonts w:eastAsia="DengXian"/>
                <w:lang w:eastAsia="zh-CN"/>
              </w:rPr>
              <w:lastRenderedPageBreak/>
              <w:t>Sierra Wireless</w:t>
            </w:r>
          </w:p>
        </w:tc>
        <w:tc>
          <w:tcPr>
            <w:tcW w:w="1730" w:type="dxa"/>
          </w:tcPr>
          <w:p w14:paraId="7A89B6CB" w14:textId="72E92C44" w:rsidR="00A6470F" w:rsidRDefault="00A6470F" w:rsidP="00A6470F">
            <w:pPr>
              <w:jc w:val="both"/>
              <w:rPr>
                <w:rFonts w:eastAsia="DengXian"/>
                <w:lang w:eastAsia="zh-CN"/>
              </w:rPr>
            </w:pPr>
            <w:r>
              <w:rPr>
                <w:lang w:eastAsia="zh-CN"/>
              </w:rPr>
              <w:t>-</w:t>
            </w:r>
          </w:p>
        </w:tc>
        <w:tc>
          <w:tcPr>
            <w:tcW w:w="6305" w:type="dxa"/>
          </w:tcPr>
          <w:p w14:paraId="10369411" w14:textId="765416CC" w:rsidR="00A6470F" w:rsidRDefault="00A6470F" w:rsidP="00A6470F">
            <w:pPr>
              <w:jc w:val="both"/>
              <w:rPr>
                <w:rFonts w:eastAsiaTheme="minorEastAsia"/>
                <w:lang w:val="en-US"/>
              </w:rPr>
            </w:pPr>
            <w:r>
              <w:rPr>
                <w:lang w:val="en-US"/>
              </w:rPr>
              <w:t>Share the views of ZTE</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732"/>
        <w:gridCol w:w="1710"/>
        <w:gridCol w:w="6187"/>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xml:space="preserve">. The details of this (singaling / applicability to a subset of the HARQ </w:t>
            </w:r>
            <w:r>
              <w:lastRenderedPageBreak/>
              <w:t>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lastRenderedPageBreak/>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SimSun"/>
                <w:bCs/>
                <w:lang w:eastAsia="zh-CN"/>
              </w:rPr>
            </w:pPr>
            <w:r w:rsidRPr="0043259E">
              <w:rPr>
                <w:rFonts w:eastAsia="SimSun" w:hint="eastAsia"/>
                <w:bCs/>
                <w:lang w:eastAsia="zh-CN"/>
              </w:rPr>
              <w:t>D</w:t>
            </w:r>
            <w:r w:rsidRPr="0043259E">
              <w:rPr>
                <w:rFonts w:eastAsia="SimSun"/>
                <w:bCs/>
                <w:lang w:eastAsia="zh-CN"/>
              </w:rPr>
              <w:t>e</w:t>
            </w:r>
            <w:r w:rsidRPr="0043259E">
              <w:rPr>
                <w:rFonts w:eastAsia="SimSun" w:hint="eastAsia"/>
                <w:bCs/>
                <w:lang w:eastAsia="zh-CN"/>
              </w:rPr>
              <w:t xml:space="preserve">tailed </w:t>
            </w:r>
            <w:r>
              <w:rPr>
                <w:rFonts w:eastAsia="SimSun"/>
                <w:bCs/>
                <w:lang w:eastAsia="zh-CN"/>
              </w:rPr>
              <w:t>14 HARQ processes design can be decided in a later meeting.</w:t>
            </w:r>
          </w:p>
          <w:p w14:paraId="1757D514" w14:textId="4EFB22CD" w:rsidR="0043259E" w:rsidRDefault="0043259E" w:rsidP="00DC5A64">
            <w:pPr>
              <w:jc w:val="both"/>
              <w:rPr>
                <w:rFonts w:eastAsia="SimSun"/>
                <w:bCs/>
                <w:lang w:eastAsia="zh-CN"/>
              </w:rPr>
            </w:pPr>
            <w:r>
              <w:rPr>
                <w:rFonts w:eastAsia="SimSun"/>
                <w:bCs/>
                <w:lang w:eastAsia="zh-CN"/>
              </w:rPr>
              <w:t>Besides existing scheduling delay of 2, we are fine to introduce additional scheduling delay of 7</w:t>
            </w:r>
            <w:r w:rsidR="00264D83">
              <w:rPr>
                <w:rFonts w:eastAsia="SimSun"/>
                <w:bCs/>
                <w:lang w:eastAsia="zh-CN"/>
              </w:rPr>
              <w:t>.</w:t>
            </w:r>
          </w:p>
          <w:p w14:paraId="42945DFB" w14:textId="62A5DA30" w:rsidR="00DE53EA" w:rsidRPr="00264D83" w:rsidRDefault="00264D83" w:rsidP="00DC5A64">
            <w:pPr>
              <w:jc w:val="both"/>
              <w:rPr>
                <w:rFonts w:eastAsia="SimSun"/>
                <w:bCs/>
                <w:lang w:eastAsia="zh-CN"/>
              </w:rPr>
            </w:pPr>
            <w:r>
              <w:rPr>
                <w:rFonts w:eastAsia="SimSun"/>
                <w:bCs/>
                <w:lang w:eastAsia="zh-CN"/>
              </w:rPr>
              <w:t xml:space="preserve">To support flexible bundling pattern, </w:t>
            </w:r>
            <w:r w:rsidR="0097313F">
              <w:rPr>
                <w:rFonts w:eastAsia="SimSun"/>
                <w:bCs/>
                <w:lang w:eastAsia="zh-CN"/>
              </w:rPr>
              <w:t xml:space="preserve">we think </w:t>
            </w:r>
            <w:r>
              <w:rPr>
                <w:rFonts w:eastAsia="SimSun"/>
                <w:bCs/>
                <w:lang w:eastAsia="zh-CN"/>
              </w:rPr>
              <w:t>at least all HARQ-ACK delay values in current spec should be suppor</w:t>
            </w:r>
            <w:r w:rsidR="00A71C71">
              <w:rPr>
                <w:rFonts w:eastAsia="SimSun"/>
                <w:bCs/>
                <w:lang w:eastAsia="zh-CN"/>
              </w:rPr>
              <w:t>t</w:t>
            </w:r>
            <w:r>
              <w:rPr>
                <w:rFonts w:eastAsia="SimSun"/>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DengXian"/>
                <w:bCs/>
                <w:lang w:eastAsia="zh-CN"/>
              </w:rPr>
              <w:t>I</w:t>
            </w:r>
            <w:r w:rsidRPr="00F30A73">
              <w:rPr>
                <w:rFonts w:eastAsia="DengXian"/>
                <w:bCs/>
                <w:lang w:eastAsia="zh-CN"/>
              </w:rPr>
              <w:t xml:space="preserve">f consider the </w:t>
            </w:r>
            <w:r w:rsidRPr="00F30A73">
              <w:rPr>
                <w:bCs/>
              </w:rPr>
              <w:t>non-</w:t>
            </w:r>
            <w:r w:rsidRPr="00F30A73">
              <w:rPr>
                <w:bCs/>
                <w:lang w:val="en-US"/>
              </w:rPr>
              <w:t>BL/CE subframes, the scheduling delay may not be 7, right?  So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DengXian"/>
                <w:lang w:eastAsia="zh-CN"/>
              </w:rPr>
            </w:pPr>
            <w:r>
              <w:rPr>
                <w:rFonts w:eastAsia="DengXian"/>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DengXian"/>
                <w:bCs/>
                <w:lang w:eastAsia="zh-CN"/>
              </w:rPr>
            </w:pPr>
            <w:r>
              <w:rPr>
                <w:rFonts w:eastAsia="DengXian"/>
                <w:bCs/>
                <w:lang w:eastAsia="zh-CN"/>
              </w:rPr>
              <w:t>For the reasons we provided in the comment‘s field in section 2.3, w</w:t>
            </w:r>
            <w:r w:rsidR="00FC0335">
              <w:rPr>
                <w:rFonts w:eastAsia="DengXian"/>
                <w:bCs/>
                <w:lang w:eastAsia="zh-CN"/>
              </w:rPr>
              <w:t>e also think we should decide on 2.3 first.</w:t>
            </w:r>
          </w:p>
        </w:tc>
      </w:tr>
      <w:tr w:rsidR="00D60727" w:rsidRPr="001E2B6A" w14:paraId="6F4E9C8E" w14:textId="77777777" w:rsidTr="00DC5A64">
        <w:tc>
          <w:tcPr>
            <w:tcW w:w="1133" w:type="dxa"/>
          </w:tcPr>
          <w:p w14:paraId="1C24F1D7" w14:textId="10E3D8F2" w:rsidR="00D60727" w:rsidRDefault="00D60727" w:rsidP="00DC5A64">
            <w:pPr>
              <w:jc w:val="both"/>
              <w:rPr>
                <w:rFonts w:eastAsia="DengXian"/>
                <w:lang w:eastAsia="zh-CN"/>
              </w:rPr>
            </w:pPr>
            <w:r>
              <w:rPr>
                <w:rFonts w:eastAsia="DengXian"/>
                <w:lang w:eastAsia="zh-CN"/>
              </w:rPr>
              <w:t>Nokia</w:t>
            </w:r>
          </w:p>
        </w:tc>
        <w:tc>
          <w:tcPr>
            <w:tcW w:w="1839" w:type="dxa"/>
          </w:tcPr>
          <w:p w14:paraId="505E87DE" w14:textId="57724273" w:rsidR="00D60727" w:rsidRDefault="00CB6394" w:rsidP="00DC5A64">
            <w:pPr>
              <w:jc w:val="both"/>
              <w:rPr>
                <w:lang w:eastAsia="zh-CN"/>
              </w:rPr>
            </w:pPr>
            <w:r>
              <w:rPr>
                <w:lang w:eastAsia="zh-CN"/>
              </w:rPr>
              <w:t>No</w:t>
            </w:r>
          </w:p>
        </w:tc>
        <w:tc>
          <w:tcPr>
            <w:tcW w:w="6657" w:type="dxa"/>
          </w:tcPr>
          <w:p w14:paraId="0E696335" w14:textId="1965C1F7" w:rsidR="00D60727" w:rsidRDefault="007B0304" w:rsidP="00F30A73">
            <w:pPr>
              <w:jc w:val="both"/>
              <w:rPr>
                <w:rFonts w:eastAsia="DengXian"/>
                <w:bCs/>
                <w:lang w:eastAsia="zh-CN"/>
              </w:rPr>
            </w:pPr>
            <w:r>
              <w:rPr>
                <w:rFonts w:eastAsia="DengXian"/>
                <w:bCs/>
                <w:lang w:eastAsia="zh-CN"/>
              </w:rPr>
              <w:t xml:space="preserve">Do not agree with the conclusion.  It </w:t>
            </w:r>
            <w:r w:rsidR="00E057D8">
              <w:rPr>
                <w:rFonts w:eastAsia="DengXian"/>
                <w:bCs/>
                <w:lang w:eastAsia="zh-CN"/>
              </w:rPr>
              <w:t xml:space="preserve">immediately </w:t>
            </w:r>
            <w:r>
              <w:rPr>
                <w:rFonts w:eastAsia="DengXian"/>
                <w:bCs/>
                <w:lang w:eastAsia="zh-CN"/>
              </w:rPr>
              <w:t xml:space="preserve">assumes that there is a </w:t>
            </w:r>
            <w:r w:rsidR="00E057D8">
              <w:rPr>
                <w:rFonts w:eastAsia="DengXian"/>
                <w:bCs/>
                <w:lang w:eastAsia="zh-CN"/>
              </w:rPr>
              <w:t xml:space="preserve">RAN1 </w:t>
            </w:r>
            <w:r>
              <w:rPr>
                <w:rFonts w:eastAsia="DengXian"/>
                <w:bCs/>
                <w:lang w:eastAsia="zh-CN"/>
              </w:rPr>
              <w:t xml:space="preserve">consensus </w:t>
            </w:r>
            <w:r w:rsidR="00E057D8">
              <w:rPr>
                <w:rFonts w:eastAsia="DengXian"/>
                <w:bCs/>
                <w:lang w:eastAsia="zh-CN"/>
              </w:rPr>
              <w:t xml:space="preserve">agreeing to the </w:t>
            </w:r>
            <w:r w:rsidR="00F0786F">
              <w:rPr>
                <w:rFonts w:eastAsia="DengXian"/>
                <w:bCs/>
                <w:lang w:eastAsia="zh-CN"/>
              </w:rPr>
              <w:t>potential issues identified in section 2.3</w:t>
            </w:r>
            <w:r w:rsidR="00E057D8">
              <w:rPr>
                <w:rFonts w:eastAsia="DengXian"/>
                <w:bCs/>
                <w:lang w:eastAsia="zh-CN"/>
              </w:rPr>
              <w:t>, which from comments thus far</w:t>
            </w:r>
            <w:r w:rsidR="00F0786F">
              <w:rPr>
                <w:rFonts w:eastAsia="DengXian"/>
                <w:bCs/>
                <w:lang w:eastAsia="zh-CN"/>
              </w:rPr>
              <w:t>,</w:t>
            </w:r>
            <w:r w:rsidR="00E057D8">
              <w:rPr>
                <w:rFonts w:eastAsia="DengXian"/>
                <w:bCs/>
                <w:lang w:eastAsia="zh-CN"/>
              </w:rPr>
              <w:t xml:space="preserve"> is not clear.</w:t>
            </w:r>
          </w:p>
          <w:p w14:paraId="70F415C7" w14:textId="77777777" w:rsidR="002C053E" w:rsidRDefault="00306A0F" w:rsidP="00F30A73">
            <w:pPr>
              <w:jc w:val="both"/>
              <w:rPr>
                <w:rFonts w:eastAsia="DengXian"/>
                <w:bCs/>
                <w:lang w:eastAsia="zh-CN"/>
              </w:rPr>
            </w:pPr>
            <w:r>
              <w:rPr>
                <w:rFonts w:eastAsia="DengXian"/>
                <w:bCs/>
                <w:lang w:eastAsia="zh-CN"/>
              </w:rPr>
              <w:t>The qualcomm proposal is a step in the right direction</w:t>
            </w:r>
            <w:r w:rsidR="006B505C">
              <w:rPr>
                <w:rFonts w:eastAsia="DengXian"/>
                <w:bCs/>
                <w:lang w:eastAsia="zh-CN"/>
              </w:rPr>
              <w:t xml:space="preserve">, but even without such a proposal, it is clear that companies </w:t>
            </w:r>
            <w:r w:rsidR="003E07BE">
              <w:rPr>
                <w:rFonts w:eastAsia="DengXian"/>
                <w:bCs/>
                <w:lang w:eastAsia="zh-CN"/>
              </w:rPr>
              <w:t>need to study the solutions presented and agree on a one solution.</w:t>
            </w:r>
          </w:p>
          <w:p w14:paraId="558F236B" w14:textId="2160E547" w:rsidR="00F0786F" w:rsidRDefault="009B2DB0" w:rsidP="00F30A73">
            <w:pPr>
              <w:jc w:val="both"/>
              <w:rPr>
                <w:rFonts w:eastAsia="DengXian"/>
                <w:bCs/>
                <w:lang w:eastAsia="zh-CN"/>
              </w:rPr>
            </w:pPr>
            <w:r>
              <w:rPr>
                <w:rFonts w:eastAsia="DengXian"/>
                <w:bCs/>
                <w:lang w:eastAsia="zh-CN"/>
              </w:rPr>
              <w:t xml:space="preserve">We feel our solution, provides the most flexible and widest range of delays for ALL process </w:t>
            </w:r>
            <w:r w:rsidR="005A05E9">
              <w:rPr>
                <w:rFonts w:eastAsia="DengXian"/>
                <w:bCs/>
                <w:lang w:eastAsia="zh-CN"/>
              </w:rPr>
              <w:t>IDs</w:t>
            </w:r>
            <w:r w:rsidR="00AD119B">
              <w:rPr>
                <w:rFonts w:eastAsia="DengXian"/>
                <w:bCs/>
                <w:lang w:eastAsia="zh-CN"/>
              </w:rPr>
              <w:t>,</w:t>
            </w:r>
            <w:r w:rsidR="007817C7">
              <w:rPr>
                <w:rFonts w:eastAsia="DengXian"/>
                <w:bCs/>
                <w:lang w:eastAsia="zh-CN"/>
              </w:rPr>
              <w:t xml:space="preserve"> without </w:t>
            </w:r>
            <w:r w:rsidR="00A31AEC">
              <w:rPr>
                <w:rFonts w:eastAsia="DengXian"/>
                <w:bCs/>
                <w:lang w:eastAsia="zh-CN"/>
              </w:rPr>
              <w:t xml:space="preserve">any impact to DCI size.  Other solutions with more restricted sets of delays </w:t>
            </w:r>
            <w:r w:rsidR="00131CEF">
              <w:rPr>
                <w:rFonts w:eastAsia="DengXian"/>
                <w:bCs/>
                <w:lang w:eastAsia="zh-CN"/>
              </w:rPr>
              <w:t>depending on the</w:t>
            </w:r>
            <w:r w:rsidR="00A31AEC">
              <w:rPr>
                <w:rFonts w:eastAsia="DengXian"/>
                <w:bCs/>
                <w:lang w:eastAsia="zh-CN"/>
              </w:rPr>
              <w:t xml:space="preserve"> </w:t>
            </w:r>
            <w:r w:rsidR="00EE4BB6">
              <w:rPr>
                <w:rFonts w:eastAsia="DengXian"/>
                <w:bCs/>
                <w:lang w:eastAsia="zh-CN"/>
              </w:rPr>
              <w:t>HARQ ID, invariably impact scheduling flexibility and efficiency</w:t>
            </w:r>
            <w:r w:rsidR="00DF6D0B">
              <w:rPr>
                <w:rFonts w:eastAsia="DengXian"/>
                <w:bCs/>
                <w:lang w:eastAsia="zh-CN"/>
              </w:rPr>
              <w:t xml:space="preserve"> (acks per bundle), particularly when „out of order“ </w:t>
            </w:r>
            <w:r w:rsidR="00131CEF">
              <w:rPr>
                <w:rFonts w:eastAsia="DengXian"/>
                <w:bCs/>
                <w:lang w:eastAsia="zh-CN"/>
              </w:rPr>
              <w:t>retransmissions are needed.</w:t>
            </w:r>
          </w:p>
        </w:tc>
      </w:tr>
      <w:tr w:rsidR="003778AE" w:rsidRPr="001E2B6A" w14:paraId="35041C21" w14:textId="77777777" w:rsidTr="00DC5A64">
        <w:tc>
          <w:tcPr>
            <w:tcW w:w="1133" w:type="dxa"/>
          </w:tcPr>
          <w:p w14:paraId="029512E9" w14:textId="79B7F07B" w:rsidR="003778AE" w:rsidRDefault="003778AE" w:rsidP="00DC5A64">
            <w:pPr>
              <w:jc w:val="both"/>
              <w:rPr>
                <w:rFonts w:eastAsia="DengXian"/>
                <w:lang w:eastAsia="zh-CN"/>
              </w:rPr>
            </w:pPr>
            <w:r>
              <w:rPr>
                <w:rFonts w:eastAsia="DengXian" w:hint="eastAsia"/>
                <w:lang w:eastAsia="zh-CN"/>
              </w:rPr>
              <w:t>Huawei, HiSilicon</w:t>
            </w:r>
          </w:p>
        </w:tc>
        <w:tc>
          <w:tcPr>
            <w:tcW w:w="1839" w:type="dxa"/>
          </w:tcPr>
          <w:p w14:paraId="2C033276" w14:textId="20919E5D" w:rsidR="003778AE" w:rsidRPr="003778AE" w:rsidRDefault="003778AE" w:rsidP="00DC5A64">
            <w:pPr>
              <w:jc w:val="both"/>
              <w:rPr>
                <w:rFonts w:eastAsia="DengXian"/>
                <w:lang w:eastAsia="zh-CN"/>
              </w:rPr>
            </w:pPr>
            <w:r>
              <w:rPr>
                <w:rFonts w:eastAsia="DengXian" w:hint="eastAsia"/>
                <w:lang w:eastAsia="zh-CN"/>
              </w:rPr>
              <w:t>No</w:t>
            </w:r>
          </w:p>
        </w:tc>
        <w:tc>
          <w:tcPr>
            <w:tcW w:w="6657" w:type="dxa"/>
          </w:tcPr>
          <w:p w14:paraId="1B58ECD1" w14:textId="77777777" w:rsidR="003778AE" w:rsidRPr="003778AE" w:rsidRDefault="003778AE" w:rsidP="003778AE">
            <w:pPr>
              <w:jc w:val="both"/>
              <w:rPr>
                <w:bCs/>
              </w:rPr>
            </w:pPr>
            <w:r w:rsidRPr="003778AE">
              <w:rPr>
                <w:bCs/>
              </w:rPr>
              <w:t>The WID states that support additional PDSCH scheduling delay for introduction of 14-HARQ processes in DL. Although the detailed designs of many companies are quite different, introduing a new PDSCH scheduling delay is clear and necessary, and most companies propose a new scheduling delay of 7 subframes.</w:t>
            </w:r>
          </w:p>
          <w:p w14:paraId="3D81BB55" w14:textId="09A010AA" w:rsidR="003778AE" w:rsidRPr="003778AE" w:rsidRDefault="003778AE" w:rsidP="003778AE">
            <w:pPr>
              <w:jc w:val="both"/>
              <w:rPr>
                <w:bCs/>
              </w:rPr>
            </w:pPr>
            <w:r w:rsidRPr="003778AE">
              <w:rPr>
                <w:bCs/>
              </w:rPr>
              <w:t xml:space="preserve">So to make some progress, </w:t>
            </w:r>
            <w:r w:rsidR="009549F2">
              <w:rPr>
                <w:bCs/>
              </w:rPr>
              <w:t>the</w:t>
            </w:r>
            <w:r w:rsidRPr="003778AE">
              <w:rPr>
                <w:bCs/>
              </w:rPr>
              <w:t xml:space="preserve"> possible agreement can be achieved, </w:t>
            </w:r>
            <w:r w:rsidR="009549F2">
              <w:rPr>
                <w:bCs/>
              </w:rPr>
              <w:t>and the</w:t>
            </w:r>
            <w:r w:rsidRPr="003778AE">
              <w:rPr>
                <w:bCs/>
              </w:rPr>
              <w:t xml:space="preserve"> detailed design</w:t>
            </w:r>
            <w:r w:rsidR="009549F2">
              <w:rPr>
                <w:bCs/>
              </w:rPr>
              <w:t xml:space="preserve"> can be FFS</w:t>
            </w:r>
            <w:r w:rsidRPr="003778AE">
              <w:rPr>
                <w:bCs/>
              </w:rPr>
              <w:t>:</w:t>
            </w:r>
          </w:p>
          <w:p w14:paraId="11B3AD18" w14:textId="0F051733" w:rsidR="003778AE" w:rsidRDefault="003778AE" w:rsidP="009549F2">
            <w:pPr>
              <w:jc w:val="both"/>
              <w:rPr>
                <w:rFonts w:eastAsia="DengXian"/>
                <w:bCs/>
                <w:lang w:eastAsia="zh-CN"/>
              </w:rPr>
            </w:pPr>
            <w:r w:rsidRPr="003778AE">
              <w:rPr>
                <w:bCs/>
                <w:i/>
                <w:u w:val="single"/>
              </w:rPr>
              <w:t>Introduce a scheduling delay of 7 subframes for at least the new HARQ processes</w:t>
            </w:r>
            <w:r w:rsidRPr="003778AE">
              <w:rPr>
                <w:bCs/>
              </w:rPr>
              <w:t>.</w:t>
            </w:r>
          </w:p>
        </w:tc>
      </w:tr>
      <w:tr w:rsidR="00ED71FA" w:rsidRPr="001E2B6A" w14:paraId="5A3D82CB" w14:textId="77777777" w:rsidTr="00DC5A64">
        <w:tc>
          <w:tcPr>
            <w:tcW w:w="1133" w:type="dxa"/>
          </w:tcPr>
          <w:p w14:paraId="2E8A93E2" w14:textId="75A1A0A6" w:rsidR="00ED71FA" w:rsidRDefault="00ED71FA" w:rsidP="00DC5A64">
            <w:pPr>
              <w:jc w:val="both"/>
              <w:rPr>
                <w:rFonts w:eastAsia="DengXian"/>
                <w:lang w:eastAsia="zh-CN"/>
              </w:rPr>
            </w:pPr>
            <w:r>
              <w:rPr>
                <w:rFonts w:eastAsia="DengXian"/>
                <w:lang w:eastAsia="zh-CN"/>
              </w:rPr>
              <w:t>Ericsson v007</w:t>
            </w:r>
          </w:p>
        </w:tc>
        <w:tc>
          <w:tcPr>
            <w:tcW w:w="1839" w:type="dxa"/>
          </w:tcPr>
          <w:p w14:paraId="155816ED" w14:textId="77777777" w:rsidR="00ED71FA" w:rsidRDefault="00ED71FA" w:rsidP="00DC5A64">
            <w:pPr>
              <w:jc w:val="both"/>
              <w:rPr>
                <w:rFonts w:eastAsia="DengXian"/>
                <w:lang w:eastAsia="zh-CN"/>
              </w:rPr>
            </w:pPr>
          </w:p>
        </w:tc>
        <w:tc>
          <w:tcPr>
            <w:tcW w:w="6657" w:type="dxa"/>
          </w:tcPr>
          <w:p w14:paraId="3EF8A9B1" w14:textId="77777777" w:rsidR="00ED71FA" w:rsidRDefault="00ED71FA" w:rsidP="003778AE">
            <w:pPr>
              <w:jc w:val="both"/>
              <w:rPr>
                <w:bCs/>
              </w:rPr>
            </w:pPr>
            <w:r>
              <w:rPr>
                <w:bCs/>
              </w:rPr>
              <w:t xml:space="preserve">About the comment </w:t>
            </w:r>
            <w:r w:rsidRPr="00ED71FA">
              <w:rPr>
                <w:bCs/>
              </w:rPr>
              <w:t>"</w:t>
            </w:r>
            <w:r w:rsidRPr="00ED71FA">
              <w:rPr>
                <w:i/>
                <w:iCs/>
              </w:rPr>
              <w:t xml:space="preserve">I think all companies agree </w:t>
            </w:r>
            <w:bookmarkStart w:id="8" w:name="_Hlk49159619"/>
            <w:r w:rsidRPr="00ED71FA">
              <w:rPr>
                <w:i/>
                <w:iCs/>
              </w:rPr>
              <w:t>that at least a scheduling delay of 7 is introduced for PDSCH</w:t>
            </w:r>
            <w:bookmarkEnd w:id="8"/>
            <w:r w:rsidRPr="00ED71FA">
              <w:rPr>
                <w:bCs/>
              </w:rPr>
              <w:t>"</w:t>
            </w:r>
            <w:r>
              <w:rPr>
                <w:bCs/>
              </w:rPr>
              <w:t>, we have a technical question, what are the units for such a value of 7?</w:t>
            </w:r>
          </w:p>
          <w:p w14:paraId="6F74430F" w14:textId="5543E12D" w:rsidR="00ED71FA" w:rsidRPr="00ED71FA" w:rsidRDefault="00ED71FA" w:rsidP="003778AE">
            <w:pPr>
              <w:jc w:val="both"/>
              <w:rPr>
                <w:rFonts w:ascii="Arial" w:hAnsi="Arial" w:cs="Arial"/>
                <w:bCs/>
              </w:rPr>
            </w:pPr>
            <w:r>
              <w:rPr>
                <w:bCs/>
              </w:rPr>
              <w:t>Are the units the same as the legacy PDSCH scheduling delay equal to 2?</w:t>
            </w:r>
            <w:r w:rsidRPr="00ED71FA">
              <w:rPr>
                <w:bCs/>
              </w:rPr>
              <w:t xml:space="preserve"> </w:t>
            </w:r>
          </w:p>
        </w:tc>
      </w:tr>
      <w:tr w:rsidR="008B6C31" w:rsidRPr="001E2B6A" w14:paraId="71CFADB9" w14:textId="77777777" w:rsidTr="00DC5A64">
        <w:tc>
          <w:tcPr>
            <w:tcW w:w="1133" w:type="dxa"/>
          </w:tcPr>
          <w:p w14:paraId="5BDDDA0F" w14:textId="3D3BE026" w:rsidR="008B6C31" w:rsidRDefault="008B6C31" w:rsidP="00DC5A64">
            <w:pPr>
              <w:jc w:val="both"/>
              <w:rPr>
                <w:rFonts w:eastAsia="DengXian"/>
                <w:lang w:eastAsia="zh-CN"/>
              </w:rPr>
            </w:pPr>
            <w:r>
              <w:rPr>
                <w:rFonts w:eastAsia="DengXian"/>
                <w:lang w:eastAsia="zh-CN"/>
              </w:rPr>
              <w:lastRenderedPageBreak/>
              <w:t>Sierra Wireless</w:t>
            </w:r>
          </w:p>
        </w:tc>
        <w:tc>
          <w:tcPr>
            <w:tcW w:w="1839" w:type="dxa"/>
          </w:tcPr>
          <w:p w14:paraId="69034A16" w14:textId="768CCD8A" w:rsidR="008B6C31" w:rsidRDefault="008B6C31" w:rsidP="00DC5A64">
            <w:pPr>
              <w:jc w:val="both"/>
              <w:rPr>
                <w:rFonts w:eastAsia="DengXian"/>
                <w:lang w:eastAsia="zh-CN"/>
              </w:rPr>
            </w:pPr>
            <w:r>
              <w:rPr>
                <w:rFonts w:eastAsia="DengXian"/>
                <w:lang w:eastAsia="zh-CN"/>
              </w:rPr>
              <w:t xml:space="preserve"> No</w:t>
            </w:r>
          </w:p>
        </w:tc>
        <w:tc>
          <w:tcPr>
            <w:tcW w:w="6657" w:type="dxa"/>
          </w:tcPr>
          <w:p w14:paraId="3E3E29A0" w14:textId="2AE967AB" w:rsidR="008B6C31" w:rsidRDefault="008B6C31" w:rsidP="003778AE">
            <w:pPr>
              <w:jc w:val="both"/>
              <w:rPr>
                <w:bCs/>
              </w:rPr>
            </w:pPr>
            <w:r>
              <w:rPr>
                <w:bCs/>
              </w:rPr>
              <w:t>Too early.</w:t>
            </w:r>
          </w:p>
        </w:tc>
      </w:tr>
    </w:tbl>
    <w:p w14:paraId="24766EB8" w14:textId="1F9617A4" w:rsidR="008158D5" w:rsidRDefault="008158D5" w:rsidP="008158D5">
      <w:pPr>
        <w:pStyle w:val="Heading2"/>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9" w:name="_Hlk48169260"/>
            <w:r w:rsidRPr="00AD7C6A">
              <w:rPr>
                <w:sz w:val="20"/>
                <w:szCs w:val="20"/>
                <w:lang w:val="en-US"/>
              </w:rPr>
              <w:t>FSS: support for DL multi-TB Grant case</w:t>
            </w:r>
            <w:bookmarkEnd w:id="9"/>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bookmarkStart w:id="10" w:name="_Hlk49160088"/>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bookmarkEnd w:id="10"/>
      <w:r>
        <w:rPr>
          <w:b/>
          <w:bCs/>
        </w:rPr>
        <w:t>.</w:t>
      </w:r>
    </w:p>
    <w:tbl>
      <w:tblPr>
        <w:tblStyle w:val="TableGrid"/>
        <w:tblW w:w="0" w:type="auto"/>
        <w:tblLook w:val="04A0" w:firstRow="1" w:lastRow="0" w:firstColumn="1" w:lastColumn="0" w:noHBand="0" w:noVBand="1"/>
      </w:tblPr>
      <w:tblGrid>
        <w:gridCol w:w="1732"/>
        <w:gridCol w:w="1746"/>
        <w:gridCol w:w="6151"/>
      </w:tblGrid>
      <w:tr w:rsidR="008158D5" w14:paraId="706DA9D0" w14:textId="77777777" w:rsidTr="00FE6974">
        <w:tc>
          <w:tcPr>
            <w:tcW w:w="1732" w:type="dxa"/>
          </w:tcPr>
          <w:p w14:paraId="7913AD49" w14:textId="77777777" w:rsidR="008158D5" w:rsidRDefault="008158D5" w:rsidP="00DC5A64">
            <w:pPr>
              <w:jc w:val="center"/>
              <w:rPr>
                <w:b/>
                <w:bCs/>
              </w:rPr>
            </w:pPr>
            <w:r>
              <w:rPr>
                <w:b/>
                <w:bCs/>
              </w:rPr>
              <w:t>Company</w:t>
            </w:r>
          </w:p>
        </w:tc>
        <w:tc>
          <w:tcPr>
            <w:tcW w:w="1746" w:type="dxa"/>
          </w:tcPr>
          <w:p w14:paraId="02EBCB39" w14:textId="71410545" w:rsidR="008158D5" w:rsidRDefault="009C36FA" w:rsidP="00DC5A64">
            <w:pPr>
              <w:jc w:val="center"/>
              <w:rPr>
                <w:b/>
                <w:bCs/>
              </w:rPr>
            </w:pPr>
            <w:r>
              <w:rPr>
                <w:b/>
                <w:bCs/>
              </w:rPr>
              <w:t>Agree</w:t>
            </w:r>
            <w:r w:rsidR="008158D5">
              <w:rPr>
                <w:b/>
                <w:bCs/>
              </w:rPr>
              <w:t>?</w:t>
            </w:r>
          </w:p>
        </w:tc>
        <w:tc>
          <w:tcPr>
            <w:tcW w:w="6151" w:type="dxa"/>
          </w:tcPr>
          <w:p w14:paraId="2AE00D5E" w14:textId="77777777" w:rsidR="008158D5" w:rsidRDefault="008158D5" w:rsidP="00DC5A64">
            <w:pPr>
              <w:jc w:val="center"/>
              <w:rPr>
                <w:b/>
                <w:bCs/>
              </w:rPr>
            </w:pPr>
            <w:r>
              <w:rPr>
                <w:b/>
                <w:bCs/>
              </w:rPr>
              <w:t>Comments</w:t>
            </w:r>
          </w:p>
        </w:tc>
      </w:tr>
      <w:tr w:rsidR="008158D5" w14:paraId="1C667F8F" w14:textId="77777777" w:rsidTr="00FE6974">
        <w:tc>
          <w:tcPr>
            <w:tcW w:w="1732" w:type="dxa"/>
          </w:tcPr>
          <w:p w14:paraId="3A18792A" w14:textId="5169C09C" w:rsidR="008158D5" w:rsidRPr="00B534C5" w:rsidRDefault="00B534C5" w:rsidP="00DC5A64">
            <w:pPr>
              <w:jc w:val="both"/>
            </w:pPr>
            <w:r w:rsidRPr="00B534C5">
              <w:t>Qualcomm</w:t>
            </w:r>
          </w:p>
        </w:tc>
        <w:tc>
          <w:tcPr>
            <w:tcW w:w="1746" w:type="dxa"/>
          </w:tcPr>
          <w:p w14:paraId="57ED099D" w14:textId="28D9DDB1" w:rsidR="008158D5" w:rsidRPr="00B534C5" w:rsidRDefault="00B534C5" w:rsidP="00DC5A64">
            <w:pPr>
              <w:jc w:val="both"/>
            </w:pPr>
            <w:r w:rsidRPr="00B534C5">
              <w:t>Too early</w:t>
            </w:r>
          </w:p>
        </w:tc>
        <w:tc>
          <w:tcPr>
            <w:tcW w:w="6151"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FE6974">
        <w:tc>
          <w:tcPr>
            <w:tcW w:w="1732" w:type="dxa"/>
          </w:tcPr>
          <w:p w14:paraId="2D005F58" w14:textId="437373E1" w:rsidR="00264D83" w:rsidRPr="00B534C5" w:rsidRDefault="00264D83" w:rsidP="00DC5A64">
            <w:pPr>
              <w:jc w:val="both"/>
              <w:rPr>
                <w:lang w:eastAsia="zh-CN"/>
              </w:rPr>
            </w:pPr>
            <w:r>
              <w:rPr>
                <w:rFonts w:hint="eastAsia"/>
                <w:lang w:eastAsia="zh-CN"/>
              </w:rPr>
              <w:t>ZTE</w:t>
            </w:r>
          </w:p>
        </w:tc>
        <w:tc>
          <w:tcPr>
            <w:tcW w:w="1746" w:type="dxa"/>
          </w:tcPr>
          <w:p w14:paraId="025672A9" w14:textId="7D7430CD" w:rsidR="00264D83" w:rsidRPr="00B534C5" w:rsidRDefault="00264D83" w:rsidP="00DC5A64">
            <w:pPr>
              <w:jc w:val="both"/>
            </w:pPr>
            <w:r w:rsidRPr="00B534C5">
              <w:t>Too early</w:t>
            </w:r>
          </w:p>
        </w:tc>
        <w:tc>
          <w:tcPr>
            <w:tcW w:w="6151"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FE6974">
        <w:tc>
          <w:tcPr>
            <w:tcW w:w="1732" w:type="dxa"/>
          </w:tcPr>
          <w:p w14:paraId="1FF4471B" w14:textId="56187C2A"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746" w:type="dxa"/>
          </w:tcPr>
          <w:p w14:paraId="795896B9" w14:textId="1D591613" w:rsidR="00F30A73" w:rsidRPr="00B534C5" w:rsidRDefault="00F30A73" w:rsidP="00DC5A64">
            <w:pPr>
              <w:jc w:val="both"/>
            </w:pPr>
            <w:r w:rsidRPr="00B534C5">
              <w:t>Too early</w:t>
            </w:r>
          </w:p>
        </w:tc>
        <w:tc>
          <w:tcPr>
            <w:tcW w:w="6151"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FE6974">
        <w:tc>
          <w:tcPr>
            <w:tcW w:w="1732" w:type="dxa"/>
          </w:tcPr>
          <w:p w14:paraId="714EFE1C" w14:textId="21BEB7BD" w:rsidR="003E76AE" w:rsidRDefault="003E76AE" w:rsidP="00DC5A64">
            <w:pPr>
              <w:jc w:val="both"/>
              <w:rPr>
                <w:rFonts w:eastAsia="DengXian"/>
                <w:lang w:eastAsia="zh-CN"/>
              </w:rPr>
            </w:pPr>
            <w:r>
              <w:rPr>
                <w:rFonts w:eastAsia="DengXian"/>
                <w:lang w:eastAsia="zh-CN"/>
              </w:rPr>
              <w:t>Ericsson</w:t>
            </w:r>
          </w:p>
        </w:tc>
        <w:tc>
          <w:tcPr>
            <w:tcW w:w="1746" w:type="dxa"/>
          </w:tcPr>
          <w:p w14:paraId="7E7768DC" w14:textId="44AFA993" w:rsidR="003E76AE" w:rsidRPr="00B534C5" w:rsidRDefault="003E76AE" w:rsidP="00DC5A64">
            <w:pPr>
              <w:jc w:val="both"/>
            </w:pPr>
            <w:r>
              <w:t>Ok</w:t>
            </w:r>
          </w:p>
        </w:tc>
        <w:tc>
          <w:tcPr>
            <w:tcW w:w="6151"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r w:rsidR="002C053E" w14:paraId="64EE83C5" w14:textId="77777777" w:rsidTr="00FE6974">
        <w:tc>
          <w:tcPr>
            <w:tcW w:w="1732" w:type="dxa"/>
          </w:tcPr>
          <w:p w14:paraId="3914FFB6" w14:textId="321ACF35" w:rsidR="002C053E" w:rsidRDefault="002C053E" w:rsidP="00DC5A64">
            <w:pPr>
              <w:jc w:val="both"/>
              <w:rPr>
                <w:rFonts w:eastAsia="DengXian"/>
                <w:lang w:eastAsia="zh-CN"/>
              </w:rPr>
            </w:pPr>
            <w:r>
              <w:rPr>
                <w:rFonts w:eastAsia="DengXian"/>
                <w:lang w:eastAsia="zh-CN"/>
              </w:rPr>
              <w:t>Nokia</w:t>
            </w:r>
          </w:p>
        </w:tc>
        <w:tc>
          <w:tcPr>
            <w:tcW w:w="1746" w:type="dxa"/>
          </w:tcPr>
          <w:p w14:paraId="75A2CCEB" w14:textId="3B6FA088" w:rsidR="002C053E" w:rsidRDefault="002C053E" w:rsidP="00DC5A64">
            <w:pPr>
              <w:jc w:val="both"/>
            </w:pPr>
            <w:r>
              <w:t>Too early</w:t>
            </w:r>
          </w:p>
        </w:tc>
        <w:tc>
          <w:tcPr>
            <w:tcW w:w="6151" w:type="dxa"/>
          </w:tcPr>
          <w:p w14:paraId="019C517B" w14:textId="5ECB9ABE" w:rsidR="002C053E" w:rsidRDefault="002C053E" w:rsidP="0097313F">
            <w:pPr>
              <w:jc w:val="both"/>
              <w:rPr>
                <w:lang w:eastAsia="zh-CN"/>
              </w:rPr>
            </w:pPr>
            <w:r>
              <w:rPr>
                <w:lang w:eastAsia="zh-CN"/>
              </w:rPr>
              <w:t>FFS</w:t>
            </w:r>
          </w:p>
        </w:tc>
      </w:tr>
      <w:tr w:rsidR="008C005D" w14:paraId="3874A80B" w14:textId="77777777" w:rsidTr="00FE6974">
        <w:tc>
          <w:tcPr>
            <w:tcW w:w="1732" w:type="dxa"/>
          </w:tcPr>
          <w:p w14:paraId="4A3B01CC" w14:textId="618669F1" w:rsidR="008C005D" w:rsidRDefault="008C005D" w:rsidP="00DC5A64">
            <w:pPr>
              <w:jc w:val="both"/>
              <w:rPr>
                <w:rFonts w:eastAsia="DengXian"/>
                <w:lang w:eastAsia="zh-CN"/>
              </w:rPr>
            </w:pPr>
            <w:r>
              <w:rPr>
                <w:rFonts w:eastAsia="DengXian" w:hint="eastAsia"/>
                <w:lang w:eastAsia="zh-CN"/>
              </w:rPr>
              <w:t>Hua</w:t>
            </w:r>
            <w:r>
              <w:rPr>
                <w:rFonts w:eastAsia="DengXian"/>
                <w:lang w:eastAsia="zh-CN"/>
              </w:rPr>
              <w:t>wei, HiSilicon</w:t>
            </w:r>
          </w:p>
        </w:tc>
        <w:tc>
          <w:tcPr>
            <w:tcW w:w="1746" w:type="dxa"/>
          </w:tcPr>
          <w:p w14:paraId="54C0CABF" w14:textId="7C9B302B" w:rsidR="008C005D" w:rsidRPr="008C005D" w:rsidRDefault="008C005D" w:rsidP="00DC5A64">
            <w:pPr>
              <w:jc w:val="both"/>
              <w:rPr>
                <w:rFonts w:eastAsiaTheme="minorEastAsia"/>
              </w:rPr>
            </w:pPr>
            <w:r>
              <w:rPr>
                <w:rFonts w:eastAsiaTheme="minorEastAsia" w:hint="eastAsia"/>
              </w:rPr>
              <w:t>Too early</w:t>
            </w:r>
          </w:p>
        </w:tc>
        <w:tc>
          <w:tcPr>
            <w:tcW w:w="6151" w:type="dxa"/>
          </w:tcPr>
          <w:p w14:paraId="032EE0D9" w14:textId="0DA9A104" w:rsidR="008C005D" w:rsidRPr="008C005D" w:rsidRDefault="008C005D" w:rsidP="008C005D">
            <w:pPr>
              <w:jc w:val="both"/>
              <w:rPr>
                <w:rFonts w:eastAsia="DengXian"/>
                <w:lang w:eastAsia="zh-CN"/>
              </w:rPr>
            </w:pPr>
            <w:r>
              <w:rPr>
                <w:rFonts w:eastAsia="DengXian"/>
                <w:lang w:eastAsia="zh-CN"/>
              </w:rPr>
              <w:t>P</w:t>
            </w:r>
            <w:r>
              <w:rPr>
                <w:rFonts w:eastAsia="DengXian" w:hint="eastAsia"/>
                <w:lang w:eastAsia="zh-CN"/>
              </w:rPr>
              <w:t xml:space="preserve">refer </w:t>
            </w:r>
            <w:r>
              <w:rPr>
                <w:rFonts w:eastAsia="DengXian"/>
                <w:lang w:eastAsia="zh-CN"/>
              </w:rPr>
              <w:t>to discuss this after companies have a clearer understanding of 14HARQ.</w:t>
            </w:r>
          </w:p>
        </w:tc>
      </w:tr>
      <w:tr w:rsidR="00A6470F" w14:paraId="5A064ED6" w14:textId="77777777" w:rsidTr="00FE6974">
        <w:tc>
          <w:tcPr>
            <w:tcW w:w="1732" w:type="dxa"/>
          </w:tcPr>
          <w:p w14:paraId="32ECA75D" w14:textId="7C5F8C67" w:rsidR="00A6470F" w:rsidRDefault="00A6470F" w:rsidP="00DC5A64">
            <w:pPr>
              <w:jc w:val="both"/>
              <w:rPr>
                <w:rFonts w:eastAsia="DengXian"/>
                <w:lang w:eastAsia="zh-CN"/>
              </w:rPr>
            </w:pPr>
            <w:r>
              <w:rPr>
                <w:rFonts w:eastAsia="DengXian"/>
                <w:lang w:eastAsia="zh-CN"/>
              </w:rPr>
              <w:t>Sierra Wireless</w:t>
            </w:r>
          </w:p>
        </w:tc>
        <w:tc>
          <w:tcPr>
            <w:tcW w:w="1746" w:type="dxa"/>
          </w:tcPr>
          <w:p w14:paraId="3BDD66B0" w14:textId="76E2FC2B" w:rsidR="00A6470F" w:rsidRDefault="00A6470F" w:rsidP="00DC5A64">
            <w:pPr>
              <w:jc w:val="both"/>
              <w:rPr>
                <w:rFonts w:eastAsiaTheme="minorEastAsia"/>
              </w:rPr>
            </w:pPr>
            <w:r>
              <w:rPr>
                <w:rFonts w:eastAsiaTheme="minorEastAsia"/>
              </w:rPr>
              <w:t>Too early</w:t>
            </w:r>
          </w:p>
        </w:tc>
        <w:tc>
          <w:tcPr>
            <w:tcW w:w="6151" w:type="dxa"/>
          </w:tcPr>
          <w:p w14:paraId="37B947DA" w14:textId="79AAEE50" w:rsidR="00A6470F" w:rsidRDefault="00A6470F" w:rsidP="008C005D">
            <w:pPr>
              <w:jc w:val="both"/>
              <w:rPr>
                <w:rFonts w:eastAsia="DengXian"/>
                <w:lang w:eastAsia="zh-CN"/>
              </w:rPr>
            </w:pPr>
            <w:r>
              <w:rPr>
                <w:rFonts w:eastAsia="DengXian"/>
                <w:lang w:eastAsia="zh-CN"/>
              </w:rPr>
              <w:t xml:space="preserve">I mentioned it in my tdoc so that everyone can take some time to think about it. I do however want to make sure that we don’t make any agreement now which would prevent us from supporting </w:t>
            </w:r>
            <w:r w:rsidR="008B6C31">
              <w:rPr>
                <w:rFonts w:eastAsia="DengXian"/>
                <w:lang w:eastAsia="zh-CN"/>
              </w:rPr>
              <w:t xml:space="preserve">14 HARQ with M-TB G. </w:t>
            </w:r>
          </w:p>
        </w:tc>
      </w:tr>
    </w:tbl>
    <w:p w14:paraId="43D19C2B" w14:textId="77777777" w:rsidR="00FE6974" w:rsidRDefault="00FE6974" w:rsidP="00FE6974">
      <w:pPr>
        <w:pStyle w:val="BodyText"/>
        <w:rPr>
          <w:rFonts w:ascii="Times New Roman" w:hAnsi="Times New Roman"/>
        </w:rPr>
      </w:pPr>
    </w:p>
    <w:p w14:paraId="5B6101CD" w14:textId="789164F3" w:rsidR="00FE6974" w:rsidRDefault="00FE6974" w:rsidP="00FE6974">
      <w:pPr>
        <w:pStyle w:val="Heading1"/>
      </w:pPr>
      <w:r>
        <w:t>3</w:t>
      </w:r>
      <w:r>
        <w:tab/>
        <w:t>Compendium o</w:t>
      </w:r>
      <w:r w:rsidR="0086343C">
        <w:t>f</w:t>
      </w:r>
      <w:r>
        <w:t xml:space="preserve"> possible agreements for 14 HARQ processes in DL in LTE-MTC</w:t>
      </w:r>
    </w:p>
    <w:p w14:paraId="7CDAC2E6" w14:textId="5DEDCBC2" w:rsidR="00B42AF3" w:rsidRPr="00B42AF3" w:rsidRDefault="00B42AF3" w:rsidP="00B42AF3">
      <w:r>
        <w:t>The set of bullets below reflect the outcome of the discussions contained in this FLS.</w:t>
      </w:r>
    </w:p>
    <w:p w14:paraId="59A83141" w14:textId="36FDDE02" w:rsidR="008158D5" w:rsidRPr="00982962" w:rsidRDefault="00FE6974" w:rsidP="009E3F87">
      <w:pPr>
        <w:pStyle w:val="ListParagraph"/>
        <w:numPr>
          <w:ilvl w:val="0"/>
          <w:numId w:val="40"/>
        </w:numPr>
        <w:jc w:val="both"/>
      </w:pPr>
      <w:r w:rsidRPr="0086343C">
        <w:rPr>
          <w:b/>
          <w:bCs/>
        </w:rPr>
        <w:t>Indication of the support of 14 HARQ processes</w:t>
      </w:r>
      <w:r w:rsidR="00982962" w:rsidRPr="00982962">
        <w:rPr>
          <w:b/>
          <w:bCs/>
          <w:lang w:val="en-US"/>
        </w:rPr>
        <w:t xml:space="preserve"> </w:t>
      </w:r>
      <w:r w:rsidR="00982962">
        <w:rPr>
          <w:b/>
          <w:bCs/>
          <w:lang w:val="en-US"/>
        </w:rPr>
        <w:t>(Section 2.1)</w:t>
      </w:r>
      <w:r w:rsidR="0086343C" w:rsidRPr="0086343C">
        <w:rPr>
          <w:b/>
          <w:bCs/>
          <w:lang w:val="en-US"/>
        </w:rPr>
        <w:t>:</w:t>
      </w:r>
      <w:r w:rsidR="0086343C">
        <w:rPr>
          <w:lang w:val="en-US"/>
        </w:rPr>
        <w:t xml:space="preserve"> </w:t>
      </w:r>
      <w:r w:rsidR="009E3F87">
        <w:rPr>
          <w:lang w:val="en-US"/>
        </w:rPr>
        <w:t>Th</w:t>
      </w:r>
      <w:r w:rsidR="00991CF9">
        <w:rPr>
          <w:lang w:val="en-US"/>
        </w:rPr>
        <w:t>e Working Assumption (WA) looks stable. Th</w:t>
      </w:r>
      <w:r w:rsidR="00982962">
        <w:rPr>
          <w:lang w:val="en-US"/>
        </w:rPr>
        <w:t xml:space="preserve">ree </w:t>
      </w:r>
      <w:r w:rsidR="000C786F">
        <w:rPr>
          <w:lang w:val="en-US"/>
        </w:rPr>
        <w:t>of the received inputs</w:t>
      </w:r>
      <w:r w:rsidR="00982962">
        <w:rPr>
          <w:lang w:val="en-US"/>
        </w:rPr>
        <w:t xml:space="preserve"> would prefer </w:t>
      </w:r>
      <w:r w:rsidR="00FF0F9D">
        <w:rPr>
          <w:lang w:val="en-US"/>
        </w:rPr>
        <w:t>to do</w:t>
      </w:r>
      <w:r w:rsidR="00982962">
        <w:rPr>
          <w:lang w:val="en-US"/>
        </w:rPr>
        <w:t xml:space="preserve"> not include a confirmation from RAN2</w:t>
      </w:r>
      <w:r w:rsidR="00297F00">
        <w:rPr>
          <w:lang w:val="en-US"/>
        </w:rPr>
        <w:t>,</w:t>
      </w:r>
      <w:r w:rsidR="00233634">
        <w:rPr>
          <w:lang w:val="en-US"/>
        </w:rPr>
        <w:t xml:space="preserve"> whereas </w:t>
      </w:r>
      <w:r w:rsidR="009E3F87">
        <w:rPr>
          <w:lang w:val="en-US"/>
        </w:rPr>
        <w:t xml:space="preserve">four </w:t>
      </w:r>
      <w:r w:rsidR="000C786F">
        <w:rPr>
          <w:lang w:val="en-US"/>
        </w:rPr>
        <w:t>of them</w:t>
      </w:r>
      <w:r w:rsidR="009E3F87">
        <w:rPr>
          <w:lang w:val="en-US"/>
        </w:rPr>
        <w:t xml:space="preserve"> are ok with it</w:t>
      </w:r>
      <w:r w:rsidR="00982962">
        <w:rPr>
          <w:lang w:val="en-US"/>
        </w:rPr>
        <w:t>. The potential WA follows the preferences of the slight majority.</w:t>
      </w:r>
    </w:p>
    <w:p w14:paraId="7BDCB082" w14:textId="77777777" w:rsidR="00982962" w:rsidRPr="00982962" w:rsidRDefault="00982962" w:rsidP="00982962">
      <w:pPr>
        <w:pStyle w:val="ListParagraph"/>
      </w:pPr>
    </w:p>
    <w:p w14:paraId="57CD22DD" w14:textId="77777777" w:rsidR="00982962" w:rsidRPr="008A06D6" w:rsidRDefault="00982962" w:rsidP="00AD37FF">
      <w:pPr>
        <w:ind w:left="720"/>
        <w:jc w:val="both"/>
        <w:rPr>
          <w:b/>
          <w:bCs/>
        </w:rPr>
      </w:pPr>
      <w:r w:rsidRPr="00982962">
        <w:rPr>
          <w:b/>
          <w:bCs/>
          <w:highlight w:val="yellow"/>
        </w:rPr>
        <w:t>Potential Working Assumption 1:</w:t>
      </w:r>
    </w:p>
    <w:p w14:paraId="73BF6D9F" w14:textId="77777777" w:rsidR="00982962" w:rsidRDefault="00982962" w:rsidP="00AD37FF">
      <w:pPr>
        <w:ind w:left="720"/>
        <w:jc w:val="both"/>
        <w:rPr>
          <w:b/>
          <w:bCs/>
        </w:rPr>
      </w:pPr>
      <w:r w:rsidRPr="00FA347A">
        <w:rPr>
          <w:b/>
          <w:bCs/>
        </w:rPr>
        <w:t>Introduce a new optional UE capability to indicate support of 14 HARQ processes</w:t>
      </w:r>
    </w:p>
    <w:p w14:paraId="11DD57D6" w14:textId="1050A5B0" w:rsidR="00982962" w:rsidRDefault="00982962" w:rsidP="00AD37FF">
      <w:pPr>
        <w:ind w:left="720"/>
        <w:jc w:val="both"/>
        <w:rPr>
          <w:b/>
          <w:bCs/>
        </w:rPr>
      </w:pPr>
      <w:r w:rsidRPr="00A9595C">
        <w:rPr>
          <w:b/>
          <w:bCs/>
        </w:rPr>
        <w:lastRenderedPageBreak/>
        <w:t xml:space="preserve">Note: The Working Assumption is to be </w:t>
      </w:r>
      <w:r w:rsidR="001D47F2">
        <w:rPr>
          <w:b/>
          <w:bCs/>
        </w:rPr>
        <w:t xml:space="preserve">automatically </w:t>
      </w:r>
      <w:r w:rsidRPr="00A9595C">
        <w:rPr>
          <w:b/>
          <w:bCs/>
        </w:rPr>
        <w:t xml:space="preserve">confirmed </w:t>
      </w:r>
      <w:r w:rsidR="001D47F2">
        <w:rPr>
          <w:b/>
          <w:bCs/>
        </w:rPr>
        <w:t>if</w:t>
      </w:r>
      <w:r w:rsidRPr="00A9595C">
        <w:rPr>
          <w:b/>
          <w:bCs/>
        </w:rPr>
        <w:t xml:space="preserve"> RAN2</w:t>
      </w:r>
      <w:r w:rsidR="001D47F2">
        <w:rPr>
          <w:b/>
          <w:bCs/>
        </w:rPr>
        <w:t xml:space="preserve"> does not raise a concern on it</w:t>
      </w:r>
      <w:r>
        <w:rPr>
          <w:b/>
          <w:bCs/>
        </w:rPr>
        <w:t>.</w:t>
      </w:r>
    </w:p>
    <w:p w14:paraId="270B3FFC" w14:textId="77777777" w:rsidR="00982962" w:rsidRPr="00982962" w:rsidRDefault="00982962" w:rsidP="00982962">
      <w:pPr>
        <w:pStyle w:val="ListParagraph"/>
        <w:rPr>
          <w:lang w:val="en-GB"/>
        </w:rPr>
      </w:pPr>
    </w:p>
    <w:p w14:paraId="1134FFFD" w14:textId="6F403808" w:rsidR="00FE6974" w:rsidRPr="00297F00" w:rsidRDefault="00FE6974" w:rsidP="00FF0F9D">
      <w:pPr>
        <w:pStyle w:val="ListParagraph"/>
        <w:numPr>
          <w:ilvl w:val="0"/>
          <w:numId w:val="40"/>
        </w:numPr>
        <w:jc w:val="both"/>
      </w:pPr>
      <w:r w:rsidRPr="0086343C">
        <w:rPr>
          <w:b/>
          <w:bCs/>
        </w:rPr>
        <w:t>Enabling of 14 HARQ processes</w:t>
      </w:r>
      <w:r w:rsidR="00982962" w:rsidRPr="00982962">
        <w:rPr>
          <w:b/>
          <w:bCs/>
          <w:lang w:val="en-US"/>
        </w:rPr>
        <w:t xml:space="preserve"> (Section 2.</w:t>
      </w:r>
      <w:r w:rsidR="00982962">
        <w:rPr>
          <w:b/>
          <w:bCs/>
          <w:lang w:val="en-US"/>
        </w:rPr>
        <w:t>2)</w:t>
      </w:r>
      <w:r w:rsidR="0086343C" w:rsidRPr="0086343C">
        <w:rPr>
          <w:b/>
          <w:bCs/>
          <w:lang w:val="en-US"/>
        </w:rPr>
        <w:t>:</w:t>
      </w:r>
      <w:r w:rsidR="0086343C" w:rsidRPr="0086343C">
        <w:rPr>
          <w:lang w:val="en-US"/>
        </w:rPr>
        <w:t xml:space="preserve"> </w:t>
      </w:r>
      <w:r w:rsidR="00297F00">
        <w:rPr>
          <w:lang w:val="en-US"/>
        </w:rPr>
        <w:t xml:space="preserve">Similarly, the Working Assumption (WA) looks stable. Three </w:t>
      </w:r>
      <w:r w:rsidR="000C786F">
        <w:rPr>
          <w:lang w:val="en-US"/>
        </w:rPr>
        <w:t>of the received inputs</w:t>
      </w:r>
      <w:r w:rsidR="00297F00">
        <w:rPr>
          <w:lang w:val="en-US"/>
        </w:rPr>
        <w:t xml:space="preserve"> would prefer </w:t>
      </w:r>
      <w:r w:rsidR="00FF0F9D">
        <w:rPr>
          <w:lang w:val="en-US"/>
        </w:rPr>
        <w:t>to do</w:t>
      </w:r>
      <w:r w:rsidR="00297F00">
        <w:rPr>
          <w:lang w:val="en-US"/>
        </w:rPr>
        <w:t xml:space="preserve"> not include a confirmation from RAN2, whereas four </w:t>
      </w:r>
      <w:r w:rsidR="000C786F">
        <w:rPr>
          <w:lang w:val="en-US"/>
        </w:rPr>
        <w:t xml:space="preserve">of them </w:t>
      </w:r>
      <w:r w:rsidR="00297F00">
        <w:rPr>
          <w:lang w:val="en-US"/>
        </w:rPr>
        <w:t>are ok with it. The potential WA follows the preferences of the slight majority.</w:t>
      </w:r>
    </w:p>
    <w:p w14:paraId="61212B52" w14:textId="77777777" w:rsidR="00297F00" w:rsidRPr="00297F00" w:rsidRDefault="00297F00" w:rsidP="00297F00">
      <w:pPr>
        <w:pStyle w:val="ListParagraph"/>
      </w:pPr>
    </w:p>
    <w:p w14:paraId="7D3B47BA" w14:textId="77777777" w:rsidR="00297F00" w:rsidRPr="008A06D6" w:rsidRDefault="00297F00" w:rsidP="00AD37FF">
      <w:pPr>
        <w:ind w:left="720"/>
        <w:jc w:val="both"/>
        <w:rPr>
          <w:b/>
          <w:bCs/>
        </w:rPr>
      </w:pPr>
      <w:r w:rsidRPr="00297F00">
        <w:rPr>
          <w:b/>
          <w:bCs/>
          <w:highlight w:val="yellow"/>
        </w:rPr>
        <w:t>Potential Working Assumption 2:</w:t>
      </w:r>
    </w:p>
    <w:p w14:paraId="663B9EEF" w14:textId="77777777" w:rsidR="00297F00" w:rsidRDefault="00297F00" w:rsidP="00AD37FF">
      <w:pPr>
        <w:ind w:left="720"/>
        <w:jc w:val="both"/>
      </w:pPr>
      <w:r w:rsidRPr="00DC5BCF">
        <w:rPr>
          <w:b/>
          <w:bCs/>
        </w:rPr>
        <w:t>Introduce a new RRC configuration parameter to enable 14 HARQ processes.</w:t>
      </w:r>
      <w:r w:rsidRPr="00A9595C">
        <w:t xml:space="preserve"> </w:t>
      </w:r>
    </w:p>
    <w:p w14:paraId="184D141D" w14:textId="55BEFDBA" w:rsidR="00297F00" w:rsidRDefault="00297F00" w:rsidP="00AD37FF">
      <w:pPr>
        <w:ind w:left="720"/>
        <w:jc w:val="both"/>
        <w:rPr>
          <w:b/>
          <w:bCs/>
        </w:rPr>
      </w:pPr>
      <w:r w:rsidRPr="00A9595C">
        <w:rPr>
          <w:b/>
          <w:bCs/>
        </w:rPr>
        <w:t xml:space="preserve">Note: The Working Assumption is to be </w:t>
      </w:r>
      <w:r w:rsidR="001D47F2">
        <w:rPr>
          <w:b/>
          <w:bCs/>
        </w:rPr>
        <w:t xml:space="preserve">automatically </w:t>
      </w:r>
      <w:r w:rsidRPr="00A9595C">
        <w:rPr>
          <w:b/>
          <w:bCs/>
        </w:rPr>
        <w:t xml:space="preserve">confirmed </w:t>
      </w:r>
      <w:r w:rsidR="001D47F2">
        <w:rPr>
          <w:b/>
          <w:bCs/>
        </w:rPr>
        <w:t xml:space="preserve">if </w:t>
      </w:r>
      <w:r w:rsidRPr="00A9595C">
        <w:rPr>
          <w:b/>
          <w:bCs/>
        </w:rPr>
        <w:t>RAN2</w:t>
      </w:r>
      <w:r w:rsidR="001D47F2">
        <w:rPr>
          <w:b/>
          <w:bCs/>
        </w:rPr>
        <w:t xml:space="preserve"> does not raise a concern on it</w:t>
      </w:r>
      <w:r>
        <w:rPr>
          <w:b/>
          <w:bCs/>
        </w:rPr>
        <w:t>.</w:t>
      </w:r>
    </w:p>
    <w:p w14:paraId="3DD8D619" w14:textId="48F09CB2" w:rsidR="00FE6974" w:rsidRPr="00465AFB" w:rsidRDefault="00FE6974" w:rsidP="00465AFB">
      <w:pPr>
        <w:pStyle w:val="ListParagraph"/>
        <w:numPr>
          <w:ilvl w:val="0"/>
          <w:numId w:val="40"/>
        </w:numPr>
        <w:jc w:val="both"/>
      </w:pPr>
      <w:r w:rsidRPr="0086343C">
        <w:rPr>
          <w:b/>
          <w:bCs/>
        </w:rPr>
        <w:t>Design Targets for the support of 14 HARQ processes</w:t>
      </w:r>
      <w:r w:rsidR="00FF0F9D" w:rsidRPr="00FF0F9D">
        <w:rPr>
          <w:b/>
          <w:bCs/>
          <w:lang w:val="en-US"/>
        </w:rPr>
        <w:t xml:space="preserve"> </w:t>
      </w:r>
      <w:r w:rsidR="00FF0F9D">
        <w:rPr>
          <w:b/>
          <w:bCs/>
          <w:lang w:val="en-US"/>
        </w:rPr>
        <w:t>(</w:t>
      </w:r>
      <w:r w:rsidR="00C443E8">
        <w:rPr>
          <w:b/>
          <w:bCs/>
          <w:lang w:val="en-US"/>
        </w:rPr>
        <w:t xml:space="preserve">Section </w:t>
      </w:r>
      <w:r w:rsidR="00FF0F9D">
        <w:rPr>
          <w:b/>
          <w:bCs/>
          <w:lang w:val="en-US"/>
        </w:rPr>
        <w:t>2.3)</w:t>
      </w:r>
      <w:r w:rsidR="0086343C" w:rsidRPr="0086343C">
        <w:rPr>
          <w:b/>
          <w:bCs/>
          <w:lang w:val="en-US"/>
        </w:rPr>
        <w:t>:</w:t>
      </w:r>
      <w:r w:rsidR="0086343C">
        <w:rPr>
          <w:lang w:val="en-US"/>
        </w:rPr>
        <w:t xml:space="preserve"> </w:t>
      </w:r>
      <w:r w:rsidR="00465AFB">
        <w:rPr>
          <w:lang w:val="en-US"/>
        </w:rPr>
        <w:t>Given the feedback received from companies</w:t>
      </w:r>
      <w:r w:rsidR="00830D65">
        <w:rPr>
          <w:lang w:val="en-US"/>
        </w:rPr>
        <w:t xml:space="preserve"> and its tight connection with section 2.4</w:t>
      </w:r>
      <w:r w:rsidR="00465AFB">
        <w:rPr>
          <w:lang w:val="en-US"/>
        </w:rPr>
        <w:t>, we can move to the next section and discuss the potential agreement related to section 2.4.</w:t>
      </w:r>
    </w:p>
    <w:p w14:paraId="628A43FD" w14:textId="77777777" w:rsidR="00465AFB" w:rsidRDefault="00465AFB" w:rsidP="00465AFB">
      <w:pPr>
        <w:pStyle w:val="ListParagraph"/>
      </w:pPr>
    </w:p>
    <w:p w14:paraId="74247A9A" w14:textId="292CB5EA" w:rsidR="003612B4" w:rsidRDefault="00FE6974" w:rsidP="00F7303D">
      <w:pPr>
        <w:pStyle w:val="ListParagraph"/>
        <w:numPr>
          <w:ilvl w:val="0"/>
          <w:numId w:val="40"/>
        </w:numPr>
        <w:jc w:val="both"/>
        <w:rPr>
          <w:lang w:val="en-US"/>
        </w:rPr>
      </w:pPr>
      <w:r w:rsidRPr="0086343C">
        <w:rPr>
          <w:b/>
          <w:bCs/>
        </w:rPr>
        <w:t>Current 14 HARQ designs</w:t>
      </w:r>
      <w:r w:rsidR="00465AFB" w:rsidRPr="00465AFB">
        <w:rPr>
          <w:b/>
          <w:bCs/>
          <w:lang w:val="en-US"/>
        </w:rPr>
        <w:t xml:space="preserve"> (</w:t>
      </w:r>
      <w:r w:rsidR="00C443E8">
        <w:rPr>
          <w:b/>
          <w:bCs/>
          <w:lang w:val="en-US"/>
        </w:rPr>
        <w:t xml:space="preserve">Section </w:t>
      </w:r>
      <w:r w:rsidR="00465AFB" w:rsidRPr="00465AFB">
        <w:rPr>
          <w:b/>
          <w:bCs/>
          <w:lang w:val="en-US"/>
        </w:rPr>
        <w:t>2.4)</w:t>
      </w:r>
      <w:r w:rsidR="0086343C" w:rsidRPr="00465AFB">
        <w:rPr>
          <w:b/>
          <w:bCs/>
          <w:lang w:val="en-US"/>
        </w:rPr>
        <w:t>:</w:t>
      </w:r>
      <w:r w:rsidR="0086343C" w:rsidRPr="00465AFB">
        <w:rPr>
          <w:lang w:val="en-US"/>
        </w:rPr>
        <w:t xml:space="preserve"> T</w:t>
      </w:r>
      <w:r w:rsidR="00465AFB" w:rsidRPr="00465AFB">
        <w:rPr>
          <w:lang w:val="en-US"/>
        </w:rPr>
        <w:t>he</w:t>
      </w:r>
      <w:r w:rsidR="00AF68FC">
        <w:rPr>
          <w:lang w:val="en-US"/>
        </w:rPr>
        <w:t xml:space="preserve"> </w:t>
      </w:r>
      <w:r w:rsidR="00465AFB" w:rsidRPr="00465AFB">
        <w:rPr>
          <w:lang w:val="en-US"/>
        </w:rPr>
        <w:t>m</w:t>
      </w:r>
      <w:r w:rsidR="00465AFB">
        <w:rPr>
          <w:lang w:val="en-US"/>
        </w:rPr>
        <w:t>ajority</w:t>
      </w:r>
      <w:r w:rsidR="00C26BB2">
        <w:rPr>
          <w:lang w:val="en-US"/>
        </w:rPr>
        <w:t xml:space="preserve"> view is “</w:t>
      </w:r>
      <w:r w:rsidR="00C26BB2" w:rsidRPr="00C26BB2">
        <w:rPr>
          <w:i/>
          <w:iCs/>
          <w:lang w:val="en-US"/>
        </w:rPr>
        <w:t>that at least a scheduling delay of 7 is introduced for PDSCH</w:t>
      </w:r>
      <w:r w:rsidR="00C26BB2">
        <w:rPr>
          <w:lang w:val="en-US"/>
        </w:rPr>
        <w:t>”.</w:t>
      </w:r>
      <w:r w:rsidR="002A1137">
        <w:rPr>
          <w:lang w:val="en-US"/>
        </w:rPr>
        <w:t xml:space="preserve"> In relation to it, a </w:t>
      </w:r>
      <w:r w:rsidR="002A1137" w:rsidRPr="002A1137">
        <w:rPr>
          <w:lang w:val="en-US"/>
        </w:rPr>
        <w:t>discussion on “</w:t>
      </w:r>
      <w:r w:rsidR="002A1137" w:rsidRPr="002A1137">
        <w:rPr>
          <w:i/>
          <w:iCs/>
          <w:lang w:val="en-US"/>
        </w:rPr>
        <w:t>what are the units for such a value of 7?</w:t>
      </w:r>
      <w:r w:rsidR="002A1137" w:rsidRPr="002A1137">
        <w:rPr>
          <w:lang w:val="en-US"/>
        </w:rPr>
        <w:t>”</w:t>
      </w:r>
      <w:r w:rsidR="002A1137">
        <w:rPr>
          <w:lang w:val="en-US"/>
        </w:rPr>
        <w:t xml:space="preserve"> resulted in letting it for FFS. Moreover, although the majority view supports the introduction of a simple 14 HARQ scheme, there were three companies open to further study the support of other scenarios</w:t>
      </w:r>
      <w:r w:rsidR="00F7303D">
        <w:rPr>
          <w:lang w:val="en-US"/>
        </w:rPr>
        <w:t xml:space="preserve"> (</w:t>
      </w:r>
      <w:r w:rsidR="00F7303D" w:rsidRPr="00F7303D">
        <w:rPr>
          <w:lang w:val="en-US"/>
        </w:rPr>
        <w:t xml:space="preserve">see section </w:t>
      </w:r>
      <w:r w:rsidR="00F7303D">
        <w:rPr>
          <w:lang w:val="en-US"/>
        </w:rPr>
        <w:t>2.3)</w:t>
      </w:r>
      <w:r w:rsidR="002A1137">
        <w:rPr>
          <w:lang w:val="en-US"/>
        </w:rPr>
        <w:t xml:space="preserve">: </w:t>
      </w:r>
      <w:r w:rsidR="00F7303D">
        <w:rPr>
          <w:lang w:val="en-US"/>
        </w:rPr>
        <w:t>“</w:t>
      </w:r>
      <w:r w:rsidR="00F7303D" w:rsidRPr="00F7303D">
        <w:rPr>
          <w:i/>
          <w:iCs/>
          <w:lang w:val="en-US"/>
        </w:rPr>
        <w:t>non-BL/CE subframes … have become even more important now that they are used for NR coexistence</w:t>
      </w:r>
      <w:r w:rsidR="00F7303D">
        <w:rPr>
          <w:lang w:val="en-US"/>
        </w:rPr>
        <w:t xml:space="preserve">”, </w:t>
      </w:r>
      <w:r w:rsidR="002A1137">
        <w:rPr>
          <w:lang w:val="en-US"/>
        </w:rPr>
        <w:t>“</w:t>
      </w:r>
      <w:r w:rsidR="00F7303D" w:rsidRPr="00F7303D">
        <w:rPr>
          <w:i/>
          <w:iCs/>
          <w:lang w:eastAsia="zh-CN"/>
        </w:rPr>
        <w:t xml:space="preserve">we need further study on whether there is problems/issues </w:t>
      </w:r>
      <w:r w:rsidR="00F7303D" w:rsidRPr="00F7303D">
        <w:rPr>
          <w:rFonts w:hint="eastAsia"/>
          <w:i/>
          <w:iCs/>
          <w:lang w:eastAsia="zh-CN"/>
        </w:rPr>
        <w:t>proposed</w:t>
      </w:r>
      <w:r w:rsidR="00F7303D" w:rsidRPr="00F7303D">
        <w:rPr>
          <w:i/>
          <w:iCs/>
          <w:lang w:eastAsia="zh-CN"/>
        </w:rPr>
        <w:t xml:space="preserve"> in E/// contribution</w:t>
      </w:r>
      <w:r w:rsidR="002A1137">
        <w:rPr>
          <w:lang w:val="en-US"/>
        </w:rPr>
        <w:t>”, “</w:t>
      </w:r>
      <w:r w:rsidR="00F7303D" w:rsidRPr="00F7303D">
        <w:rPr>
          <w:lang w:val="en-US"/>
        </w:rPr>
        <w:t xml:space="preserve">RAN1 to further discuss how/whether to take into account </w:t>
      </w:r>
      <w:r w:rsidR="00F7303D">
        <w:rPr>
          <w:lang w:val="en-US"/>
        </w:rPr>
        <w:t xml:space="preserve">… </w:t>
      </w:r>
      <w:r w:rsidR="00F7303D" w:rsidRPr="00F7303D">
        <w:rPr>
          <w:lang w:val="en-US"/>
        </w:rPr>
        <w:t>- presence of PUCCH repetition - presence of non-BL/CE subframes</w:t>
      </w:r>
      <w:r w:rsidR="002A1137" w:rsidRPr="00F7303D">
        <w:rPr>
          <w:lang w:val="en-US"/>
        </w:rPr>
        <w:t>”.</w:t>
      </w:r>
      <w:r w:rsidR="00F7303D">
        <w:rPr>
          <w:lang w:val="en-US"/>
        </w:rPr>
        <w:t xml:space="preserve"> </w:t>
      </w:r>
    </w:p>
    <w:p w14:paraId="36806985" w14:textId="77777777" w:rsidR="003612B4" w:rsidRPr="003612B4" w:rsidRDefault="003612B4" w:rsidP="003612B4">
      <w:pPr>
        <w:pStyle w:val="ListParagraph"/>
        <w:rPr>
          <w:lang w:val="en-US"/>
        </w:rPr>
      </w:pPr>
    </w:p>
    <w:p w14:paraId="63AE2555" w14:textId="4EAEB798" w:rsidR="002A1137" w:rsidRDefault="00F7303D" w:rsidP="003612B4">
      <w:pPr>
        <w:pStyle w:val="ListParagraph"/>
        <w:jc w:val="both"/>
        <w:rPr>
          <w:lang w:val="en-US"/>
        </w:rPr>
      </w:pPr>
      <w:r>
        <w:rPr>
          <w:lang w:val="en-US"/>
        </w:rPr>
        <w:t xml:space="preserve">Thus, the following proposal is intended to capture the </w:t>
      </w:r>
      <w:r w:rsidR="003612B4">
        <w:rPr>
          <w:lang w:val="en-US"/>
        </w:rPr>
        <w:t xml:space="preserve">above </w:t>
      </w:r>
      <w:r>
        <w:rPr>
          <w:lang w:val="en-US"/>
        </w:rPr>
        <w:t>technical aspects</w:t>
      </w:r>
      <w:r w:rsidR="00A75868">
        <w:rPr>
          <w:lang w:val="en-US"/>
        </w:rPr>
        <w:t>:</w:t>
      </w:r>
    </w:p>
    <w:p w14:paraId="18B184AF" w14:textId="0687DFAF" w:rsidR="00F7303D" w:rsidRDefault="00F7303D" w:rsidP="00F7303D">
      <w:pPr>
        <w:pStyle w:val="ListParagraph"/>
        <w:rPr>
          <w:lang w:val="en-US"/>
        </w:rPr>
      </w:pPr>
    </w:p>
    <w:p w14:paraId="160630B9" w14:textId="51F544B3" w:rsidR="00F7303D" w:rsidRPr="00F7303D" w:rsidRDefault="00F7303D" w:rsidP="00F7303D">
      <w:pPr>
        <w:ind w:left="720"/>
        <w:jc w:val="both"/>
        <w:rPr>
          <w:b/>
          <w:bCs/>
        </w:rPr>
      </w:pPr>
      <w:r w:rsidRPr="00F7303D">
        <w:rPr>
          <w:b/>
          <w:bCs/>
          <w:highlight w:val="yellow"/>
        </w:rPr>
        <w:t>Potential Agreement:</w:t>
      </w:r>
    </w:p>
    <w:p w14:paraId="434FA2B9" w14:textId="77777777" w:rsidR="00F7303D" w:rsidRPr="00F7303D" w:rsidRDefault="00F7303D" w:rsidP="00F7303D">
      <w:pPr>
        <w:pStyle w:val="ListParagraph"/>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For a UE configured with 14 HARQ processes, a PDSCH scheduling delay of 2 BL/CE DL subframes and 7 [FFS subframes type(s)] is supported at least in the PUCCH non-repetition case:</w:t>
      </w:r>
    </w:p>
    <w:p w14:paraId="6122664D" w14:textId="77777777" w:rsidR="00F7303D" w:rsidRPr="00F7303D" w:rsidRDefault="00F7303D" w:rsidP="0008575D">
      <w:pPr>
        <w:pStyle w:val="ListParagraph"/>
        <w:ind w:left="1134"/>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w:t>
      </w:r>
      <w:r w:rsidRPr="00F7303D">
        <w:rPr>
          <w:rFonts w:ascii="Times New Roman" w:eastAsia="SimSun" w:hAnsi="Times New Roman"/>
          <w:b/>
          <w:bCs/>
          <w:sz w:val="20"/>
          <w:szCs w:val="20"/>
          <w:lang w:val="en-GB" w:eastAsia="ja-JP"/>
        </w:rPr>
        <w:tab/>
        <w:t>FFS details of signaling.</w:t>
      </w:r>
    </w:p>
    <w:p w14:paraId="582EDBC2" w14:textId="23846C90" w:rsidR="00F7303D" w:rsidRDefault="00F7303D" w:rsidP="0008575D">
      <w:pPr>
        <w:pStyle w:val="ListParagraph"/>
        <w:ind w:left="1701" w:hanging="567"/>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w:t>
      </w:r>
      <w:r w:rsidRPr="00F7303D">
        <w:rPr>
          <w:rFonts w:ascii="Times New Roman" w:eastAsia="SimSun" w:hAnsi="Times New Roman"/>
          <w:b/>
          <w:bCs/>
          <w:sz w:val="20"/>
          <w:szCs w:val="20"/>
          <w:lang w:val="en-GB" w:eastAsia="ja-JP"/>
        </w:rPr>
        <w:tab/>
        <w:t xml:space="preserve">FFS other delay values to account for the presence of non-BL/CE subframes </w:t>
      </w:r>
      <w:r w:rsidR="001D47F2">
        <w:rPr>
          <w:rFonts w:ascii="Times New Roman" w:eastAsia="SimSun" w:hAnsi="Times New Roman"/>
          <w:b/>
          <w:bCs/>
          <w:sz w:val="20"/>
          <w:szCs w:val="20"/>
          <w:lang w:val="en-GB" w:eastAsia="ja-JP"/>
        </w:rPr>
        <w:t>in</w:t>
      </w:r>
      <w:r w:rsidRPr="00F7303D">
        <w:rPr>
          <w:rFonts w:ascii="Times New Roman" w:eastAsia="SimSun" w:hAnsi="Times New Roman"/>
          <w:b/>
          <w:bCs/>
          <w:sz w:val="20"/>
          <w:szCs w:val="20"/>
          <w:lang w:val="en-GB" w:eastAsia="ja-JP"/>
        </w:rPr>
        <w:t xml:space="preserve"> </w:t>
      </w:r>
      <w:r w:rsidR="005F470F">
        <w:rPr>
          <w:rFonts w:ascii="Times New Roman" w:eastAsia="SimSun" w:hAnsi="Times New Roman"/>
          <w:b/>
          <w:bCs/>
          <w:sz w:val="20"/>
          <w:szCs w:val="20"/>
          <w:lang w:val="en-GB" w:eastAsia="ja-JP"/>
        </w:rPr>
        <w:t xml:space="preserve">the </w:t>
      </w:r>
      <w:r w:rsidRPr="00F7303D">
        <w:rPr>
          <w:rFonts w:ascii="Times New Roman" w:eastAsia="SimSun" w:hAnsi="Times New Roman"/>
          <w:b/>
          <w:bCs/>
          <w:sz w:val="20"/>
          <w:szCs w:val="20"/>
          <w:lang w:val="en-GB" w:eastAsia="ja-JP"/>
        </w:rPr>
        <w:t>PUCCH non-repetition case.</w:t>
      </w:r>
    </w:p>
    <w:p w14:paraId="2A4592DA" w14:textId="0B63533B" w:rsidR="001D47F2" w:rsidRPr="001D47F2" w:rsidRDefault="001D47F2" w:rsidP="001D47F2">
      <w:pPr>
        <w:pStyle w:val="ListParagraph"/>
        <w:ind w:left="1134"/>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w:t>
      </w:r>
      <w:r w:rsidRPr="00F7303D">
        <w:rPr>
          <w:rFonts w:ascii="Times New Roman" w:eastAsia="SimSun" w:hAnsi="Times New Roman"/>
          <w:b/>
          <w:bCs/>
          <w:sz w:val="20"/>
          <w:szCs w:val="20"/>
          <w:lang w:val="en-GB" w:eastAsia="ja-JP"/>
        </w:rPr>
        <w:tab/>
        <w:t xml:space="preserve">FFS </w:t>
      </w:r>
      <w:r>
        <w:rPr>
          <w:rFonts w:ascii="Times New Roman" w:eastAsia="SimSun" w:hAnsi="Times New Roman"/>
          <w:b/>
          <w:bCs/>
          <w:sz w:val="20"/>
          <w:szCs w:val="20"/>
          <w:lang w:val="en-GB" w:eastAsia="ja-JP"/>
        </w:rPr>
        <w:t>PUCCH repetition case.</w:t>
      </w:r>
      <w:bookmarkStart w:id="11" w:name="_GoBack"/>
      <w:bookmarkEnd w:id="11"/>
    </w:p>
    <w:p w14:paraId="33C7B24C" w14:textId="77777777" w:rsidR="00BF0930" w:rsidRPr="00BF0930" w:rsidRDefault="00BF0930" w:rsidP="00F7303D"/>
    <w:p w14:paraId="6DAC1141" w14:textId="192AEB48" w:rsidR="00FE6974" w:rsidRPr="0086343C" w:rsidRDefault="00FE6974" w:rsidP="00AF68FC">
      <w:pPr>
        <w:pStyle w:val="ListParagraph"/>
        <w:numPr>
          <w:ilvl w:val="0"/>
          <w:numId w:val="40"/>
        </w:numPr>
        <w:jc w:val="both"/>
      </w:pPr>
      <w:r w:rsidRPr="0086343C">
        <w:rPr>
          <w:b/>
          <w:bCs/>
        </w:rPr>
        <w:t>Others</w:t>
      </w:r>
      <w:r w:rsidR="00C26BB2" w:rsidRPr="00C26BB2">
        <w:rPr>
          <w:b/>
          <w:bCs/>
          <w:lang w:val="en-US"/>
        </w:rPr>
        <w:t xml:space="preserve"> (</w:t>
      </w:r>
      <w:r w:rsidR="004227C5">
        <w:rPr>
          <w:b/>
          <w:bCs/>
          <w:lang w:val="en-US"/>
        </w:rPr>
        <w:t xml:space="preserve">Section </w:t>
      </w:r>
      <w:r w:rsidR="00C26BB2" w:rsidRPr="00C26BB2">
        <w:rPr>
          <w:b/>
          <w:bCs/>
          <w:lang w:val="en-US"/>
        </w:rPr>
        <w:t>2.</w:t>
      </w:r>
      <w:r w:rsidR="00AF68FC">
        <w:rPr>
          <w:b/>
          <w:bCs/>
          <w:lang w:val="en-US"/>
        </w:rPr>
        <w:t>5</w:t>
      </w:r>
      <w:r w:rsidR="00C26BB2" w:rsidRPr="00C26BB2">
        <w:rPr>
          <w:b/>
          <w:bCs/>
          <w:lang w:val="en-US"/>
        </w:rPr>
        <w:t>)</w:t>
      </w:r>
      <w:r w:rsidR="0086343C" w:rsidRPr="00C26BB2">
        <w:rPr>
          <w:b/>
          <w:bCs/>
          <w:lang w:val="en-US"/>
        </w:rPr>
        <w:t>:</w:t>
      </w:r>
      <w:r w:rsidR="0086343C" w:rsidRPr="00C26BB2">
        <w:rPr>
          <w:lang w:val="en-US"/>
        </w:rPr>
        <w:t xml:space="preserve"> </w:t>
      </w:r>
      <w:r w:rsidR="00C26BB2" w:rsidRPr="00C26BB2">
        <w:rPr>
          <w:lang w:val="en-US"/>
        </w:rPr>
        <w:t>In this section a</w:t>
      </w:r>
      <w:r w:rsidR="00C26BB2">
        <w:rPr>
          <w:lang w:val="en-US"/>
        </w:rPr>
        <w:t xml:space="preserve"> potential agreement to have </w:t>
      </w:r>
      <w:r w:rsidR="00AF68FC">
        <w:rPr>
          <w:lang w:val="en-US"/>
        </w:rPr>
        <w:t xml:space="preserve">an </w:t>
      </w:r>
      <w:r w:rsidR="00C26BB2">
        <w:rPr>
          <w:lang w:val="en-US"/>
        </w:rPr>
        <w:t>FFS on “</w:t>
      </w:r>
      <w:r w:rsidR="00C26BB2" w:rsidRPr="00C26BB2">
        <w:rPr>
          <w:lang w:val="en-US"/>
        </w:rPr>
        <w:t>Whether the 14 HARQ scheme will support multi-TB Grant</w:t>
      </w:r>
      <w:r w:rsidR="00C26BB2">
        <w:rPr>
          <w:lang w:val="en-US"/>
        </w:rPr>
        <w:t xml:space="preserve">” </w:t>
      </w:r>
      <w:r w:rsidR="002D6E97">
        <w:rPr>
          <w:lang w:val="en-US"/>
        </w:rPr>
        <w:t>was subject to feedback, for which</w:t>
      </w:r>
      <w:r w:rsidR="00C26BB2">
        <w:rPr>
          <w:lang w:val="en-US"/>
        </w:rPr>
        <w:t xml:space="preserve"> the majority </w:t>
      </w:r>
      <w:r w:rsidR="002D6E97">
        <w:rPr>
          <w:lang w:val="en-US"/>
        </w:rPr>
        <w:t xml:space="preserve">of companies </w:t>
      </w:r>
      <w:r w:rsidR="00C26BB2">
        <w:rPr>
          <w:lang w:val="en-US"/>
        </w:rPr>
        <w:t>res</w:t>
      </w:r>
      <w:r w:rsidR="00830D65">
        <w:rPr>
          <w:lang w:val="en-US"/>
        </w:rPr>
        <w:t>ponded that it was “Too early”</w:t>
      </w:r>
      <w:r w:rsidR="00AF68FC">
        <w:rPr>
          <w:lang w:val="en-US"/>
        </w:rPr>
        <w:t xml:space="preserve"> for it</w:t>
      </w:r>
      <w:r w:rsidR="00830D65">
        <w:rPr>
          <w:lang w:val="en-US"/>
        </w:rPr>
        <w:t xml:space="preserve">. So, </w:t>
      </w:r>
      <w:r w:rsidR="00AF68FC">
        <w:rPr>
          <w:lang w:val="en-US"/>
        </w:rPr>
        <w:t>there is no potential agreement for section 2.5 of th</w:t>
      </w:r>
      <w:r w:rsidR="00690B3F">
        <w:rPr>
          <w:lang w:val="en-US"/>
        </w:rPr>
        <w:t>is</w:t>
      </w:r>
      <w:r w:rsidR="00AF68FC">
        <w:rPr>
          <w:lang w:val="en-US"/>
        </w:rPr>
        <w:t xml:space="preserve"> FLS.</w:t>
      </w:r>
    </w:p>
    <w:p w14:paraId="7203AEF7" w14:textId="52D8A815" w:rsidR="00F507D1" w:rsidRPr="00CE0424" w:rsidRDefault="00FE6974" w:rsidP="00CE0424">
      <w:pPr>
        <w:pStyle w:val="Heading1"/>
      </w:pPr>
      <w:r>
        <w:t>4</w:t>
      </w:r>
      <w:r w:rsidR="00DF5DE2">
        <w:tab/>
      </w:r>
      <w:r w:rsidR="00F507D1" w:rsidRPr="00CE0424">
        <w:t>References</w:t>
      </w:r>
    </w:p>
    <w:bookmarkStart w:id="12" w:name="_Ref174151459"/>
    <w:bookmarkStart w:id="13" w:name="_Ref189809556"/>
    <w:bookmarkStart w:id="14" w:name="_Ref525824664"/>
    <w:bookmarkStart w:id="15"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904C95" w:rsidP="00CF4F41">
      <w:pPr>
        <w:pStyle w:val="Reference"/>
      </w:pPr>
      <w:hyperlink r:id="rId12" w:history="1">
        <w:r w:rsidR="00E67862" w:rsidRPr="00457CBC">
          <w:rPr>
            <w:rStyle w:val="Hyperlink"/>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904C95" w:rsidP="00CF4F41">
      <w:pPr>
        <w:pStyle w:val="Reference"/>
      </w:pPr>
      <w:hyperlink r:id="rId13" w:history="1">
        <w:r w:rsidR="00E67862" w:rsidRPr="00457CBC">
          <w:rPr>
            <w:rStyle w:val="Hyperlink"/>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904C95" w:rsidP="00CF4F41">
      <w:pPr>
        <w:pStyle w:val="Reference"/>
      </w:pPr>
      <w:hyperlink r:id="rId14" w:history="1">
        <w:r w:rsidR="00E67862" w:rsidRPr="00457CBC">
          <w:rPr>
            <w:rStyle w:val="Hyperlink"/>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904C95" w:rsidP="00CF4F41">
      <w:pPr>
        <w:pStyle w:val="Reference"/>
      </w:pPr>
      <w:hyperlink r:id="rId15"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904C95" w:rsidP="00CF4F41">
      <w:pPr>
        <w:pStyle w:val="Reference"/>
      </w:pPr>
      <w:hyperlink r:id="rId16"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904C95" w:rsidP="00CF4F41">
      <w:pPr>
        <w:pStyle w:val="Reference"/>
      </w:pPr>
      <w:hyperlink r:id="rId17" w:history="1">
        <w:r w:rsidR="00604D1B" w:rsidRPr="00457CBC">
          <w:rPr>
            <w:rStyle w:val="Hyperlink"/>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904C95" w:rsidP="00CF4F41">
      <w:pPr>
        <w:pStyle w:val="Reference"/>
      </w:pPr>
      <w:hyperlink r:id="rId18" w:history="1">
        <w:r w:rsidR="00604D1B" w:rsidRPr="00457CBC">
          <w:rPr>
            <w:rStyle w:val="Hyperlink"/>
          </w:rPr>
          <w:t>R1-2006193</w:t>
        </w:r>
      </w:hyperlink>
      <w:r w:rsidR="00604D1B">
        <w:t>, “Support of 14 HARQ processes and scheduling delay,” Qualcomm Incorporated, RAN1 #102-e, Electronic Meeting, August 17-28, 2020.</w:t>
      </w:r>
    </w:p>
    <w:bookmarkEnd w:id="12"/>
    <w:bookmarkEnd w:id="13"/>
    <w:bookmarkEnd w:id="14"/>
    <w:bookmarkEnd w:id="15"/>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FC8A" w14:textId="77777777" w:rsidR="00904C95" w:rsidRDefault="00904C95">
      <w:r>
        <w:separator/>
      </w:r>
    </w:p>
  </w:endnote>
  <w:endnote w:type="continuationSeparator" w:id="0">
    <w:p w14:paraId="12DB071F" w14:textId="77777777" w:rsidR="00904C95" w:rsidRDefault="00904C95">
      <w:r>
        <w:continuationSeparator/>
      </w:r>
    </w:p>
  </w:endnote>
  <w:endnote w:type="continuationNotice" w:id="1">
    <w:p w14:paraId="3D258CCB" w14:textId="77777777" w:rsidR="00904C95" w:rsidRDefault="00904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E80732A"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202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202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6BB72" w14:textId="77777777" w:rsidR="00904C95" w:rsidRDefault="00904C95">
      <w:r>
        <w:separator/>
      </w:r>
    </w:p>
  </w:footnote>
  <w:footnote w:type="continuationSeparator" w:id="0">
    <w:p w14:paraId="33D93432" w14:textId="77777777" w:rsidR="00904C95" w:rsidRDefault="00904C95">
      <w:r>
        <w:continuationSeparator/>
      </w:r>
    </w:p>
  </w:footnote>
  <w:footnote w:type="continuationNotice" w:id="1">
    <w:p w14:paraId="517D7A68" w14:textId="77777777" w:rsidR="00904C95" w:rsidRDefault="00904C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576D93"/>
    <w:multiLevelType w:val="hybridMultilevel"/>
    <w:tmpl w:val="E5B86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0"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
  </w:num>
  <w:num w:numId="4">
    <w:abstractNumId w:val="24"/>
  </w:num>
  <w:num w:numId="5">
    <w:abstractNumId w:val="26"/>
  </w:num>
  <w:num w:numId="6">
    <w:abstractNumId w:val="28"/>
  </w:num>
  <w:num w:numId="7">
    <w:abstractNumId w:val="12"/>
  </w:num>
  <w:num w:numId="8">
    <w:abstractNumId w:val="14"/>
  </w:num>
  <w:num w:numId="9">
    <w:abstractNumId w:val="7"/>
  </w:num>
  <w:num w:numId="10">
    <w:abstractNumId w:val="36"/>
  </w:num>
  <w:num w:numId="11">
    <w:abstractNumId w:val="17"/>
  </w:num>
  <w:num w:numId="12">
    <w:abstractNumId w:val="31"/>
  </w:num>
  <w:num w:numId="13">
    <w:abstractNumId w:val="25"/>
  </w:num>
  <w:num w:numId="14">
    <w:abstractNumId w:val="16"/>
  </w:num>
  <w:num w:numId="15">
    <w:abstractNumId w:val="38"/>
  </w:num>
  <w:num w:numId="16">
    <w:abstractNumId w:val="18"/>
  </w:num>
  <w:num w:numId="17">
    <w:abstractNumId w:val="9"/>
  </w:num>
  <w:num w:numId="18">
    <w:abstractNumId w:val="33"/>
  </w:num>
  <w:num w:numId="19">
    <w:abstractNumId w:val="32"/>
  </w:num>
  <w:num w:numId="20">
    <w:abstractNumId w:val="5"/>
  </w:num>
  <w:num w:numId="21">
    <w:abstractNumId w:val="10"/>
  </w:num>
  <w:num w:numId="22">
    <w:abstractNumId w:val="8"/>
  </w:num>
  <w:num w:numId="23">
    <w:abstractNumId w:val="35"/>
  </w:num>
  <w:num w:numId="24">
    <w:abstractNumId w:val="3"/>
  </w:num>
  <w:num w:numId="25">
    <w:abstractNumId w:val="27"/>
  </w:num>
  <w:num w:numId="26">
    <w:abstractNumId w:val="30"/>
  </w:num>
  <w:num w:numId="27">
    <w:abstractNumId w:val="20"/>
  </w:num>
  <w:num w:numId="28">
    <w:abstractNumId w:val="6"/>
  </w:num>
  <w:num w:numId="29">
    <w:abstractNumId w:val="1"/>
  </w:num>
  <w:num w:numId="30">
    <w:abstractNumId w:val="0"/>
  </w:num>
  <w:num w:numId="31">
    <w:abstractNumId w:val="24"/>
  </w:num>
  <w:num w:numId="32">
    <w:abstractNumId w:val="11"/>
  </w:num>
  <w:num w:numId="33">
    <w:abstractNumId w:val="21"/>
  </w:num>
  <w:num w:numId="34">
    <w:abstractNumId w:val="37"/>
  </w:num>
  <w:num w:numId="35">
    <w:abstractNumId w:val="34"/>
  </w:num>
  <w:num w:numId="36">
    <w:abstractNumId w:val="13"/>
  </w:num>
  <w:num w:numId="37">
    <w:abstractNumId w:val="15"/>
  </w:num>
  <w:num w:numId="38">
    <w:abstractNumId w:val="29"/>
  </w:num>
  <w:num w:numId="39">
    <w:abstractNumId w:val="23"/>
  </w:num>
  <w:num w:numId="4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AE1"/>
    <w:rsid w:val="00080BB7"/>
    <w:rsid w:val="00081293"/>
    <w:rsid w:val="0008197D"/>
    <w:rsid w:val="00081AE6"/>
    <w:rsid w:val="0008294A"/>
    <w:rsid w:val="00083425"/>
    <w:rsid w:val="0008369A"/>
    <w:rsid w:val="00083F22"/>
    <w:rsid w:val="00084943"/>
    <w:rsid w:val="000851A1"/>
    <w:rsid w:val="000855DE"/>
    <w:rsid w:val="000855EB"/>
    <w:rsid w:val="0008575D"/>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86F"/>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0A1B"/>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CEF"/>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025"/>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1C2"/>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634"/>
    <w:rsid w:val="001D3CFA"/>
    <w:rsid w:val="001D47F2"/>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0F25"/>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634"/>
    <w:rsid w:val="00233A0B"/>
    <w:rsid w:val="002350F5"/>
    <w:rsid w:val="002354FA"/>
    <w:rsid w:val="002355FE"/>
    <w:rsid w:val="00235632"/>
    <w:rsid w:val="00235872"/>
    <w:rsid w:val="00236130"/>
    <w:rsid w:val="00237470"/>
    <w:rsid w:val="0023794C"/>
    <w:rsid w:val="002409D4"/>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97F00"/>
    <w:rsid w:val="002A019A"/>
    <w:rsid w:val="002A02A5"/>
    <w:rsid w:val="002A055E"/>
    <w:rsid w:val="002A0AB9"/>
    <w:rsid w:val="002A0FD6"/>
    <w:rsid w:val="002A1137"/>
    <w:rsid w:val="002A12E5"/>
    <w:rsid w:val="002A1452"/>
    <w:rsid w:val="002A19C6"/>
    <w:rsid w:val="002A1CB3"/>
    <w:rsid w:val="002A1D4E"/>
    <w:rsid w:val="002A2869"/>
    <w:rsid w:val="002A332D"/>
    <w:rsid w:val="002A370B"/>
    <w:rsid w:val="002A376D"/>
    <w:rsid w:val="002A3785"/>
    <w:rsid w:val="002A3BD3"/>
    <w:rsid w:val="002A3CAB"/>
    <w:rsid w:val="002A489F"/>
    <w:rsid w:val="002A4A88"/>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53E"/>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4FA7"/>
    <w:rsid w:val="002D5B37"/>
    <w:rsid w:val="002D5DA7"/>
    <w:rsid w:val="002D6337"/>
    <w:rsid w:val="002D6654"/>
    <w:rsid w:val="002D6C4A"/>
    <w:rsid w:val="002D6E97"/>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A0F"/>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8F3"/>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2B4"/>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13D"/>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8AE"/>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07BE"/>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7C5"/>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5AFB"/>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5933"/>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38"/>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05E9"/>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470F"/>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3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BAA"/>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5C"/>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7C7"/>
    <w:rsid w:val="00781836"/>
    <w:rsid w:val="00781981"/>
    <w:rsid w:val="00781E2D"/>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304"/>
    <w:rsid w:val="007B05D6"/>
    <w:rsid w:val="007B1179"/>
    <w:rsid w:val="007B1DF4"/>
    <w:rsid w:val="007B326A"/>
    <w:rsid w:val="007B35A6"/>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0D65"/>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343C"/>
    <w:rsid w:val="008641D8"/>
    <w:rsid w:val="00864523"/>
    <w:rsid w:val="0086470B"/>
    <w:rsid w:val="0086477F"/>
    <w:rsid w:val="008657B6"/>
    <w:rsid w:val="00865B62"/>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2F"/>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C31"/>
    <w:rsid w:val="008B6EED"/>
    <w:rsid w:val="008B74F0"/>
    <w:rsid w:val="008B76FA"/>
    <w:rsid w:val="008B7B5C"/>
    <w:rsid w:val="008C005D"/>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C4"/>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4E7"/>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C95"/>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9F2"/>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3FDD"/>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962"/>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1CF9"/>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2DB0"/>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3F87"/>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AEC"/>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1E"/>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70F"/>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5868"/>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19B"/>
    <w:rsid w:val="00AD12EC"/>
    <w:rsid w:val="00AD1474"/>
    <w:rsid w:val="00AD1A50"/>
    <w:rsid w:val="00AD1BCE"/>
    <w:rsid w:val="00AD2302"/>
    <w:rsid w:val="00AD23E2"/>
    <w:rsid w:val="00AD24D8"/>
    <w:rsid w:val="00AD2CFE"/>
    <w:rsid w:val="00AD2ED0"/>
    <w:rsid w:val="00AD2FAB"/>
    <w:rsid w:val="00AD3542"/>
    <w:rsid w:val="00AD371D"/>
    <w:rsid w:val="00AD37FF"/>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8FC"/>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09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2AF3"/>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0930"/>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32F"/>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6BB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3E8"/>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394"/>
    <w:rsid w:val="00CB6714"/>
    <w:rsid w:val="00CB6B3C"/>
    <w:rsid w:val="00CB6B53"/>
    <w:rsid w:val="00CB7170"/>
    <w:rsid w:val="00CB7B1F"/>
    <w:rsid w:val="00CC040E"/>
    <w:rsid w:val="00CC0489"/>
    <w:rsid w:val="00CC111F"/>
    <w:rsid w:val="00CC181A"/>
    <w:rsid w:val="00CC2011"/>
    <w:rsid w:val="00CC20AF"/>
    <w:rsid w:val="00CC235B"/>
    <w:rsid w:val="00CC23C0"/>
    <w:rsid w:val="00CC2403"/>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B0F"/>
    <w:rsid w:val="00D10CA0"/>
    <w:rsid w:val="00D10D6C"/>
    <w:rsid w:val="00D10DEC"/>
    <w:rsid w:val="00D115C3"/>
    <w:rsid w:val="00D11897"/>
    <w:rsid w:val="00D11B6C"/>
    <w:rsid w:val="00D12C3C"/>
    <w:rsid w:val="00D13135"/>
    <w:rsid w:val="00D13BE8"/>
    <w:rsid w:val="00D13D39"/>
    <w:rsid w:val="00D13E0F"/>
    <w:rsid w:val="00D13E4E"/>
    <w:rsid w:val="00D13ED1"/>
    <w:rsid w:val="00D141EF"/>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AE6"/>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727"/>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B96"/>
    <w:rsid w:val="00D96C30"/>
    <w:rsid w:val="00D96D51"/>
    <w:rsid w:val="00D96ECE"/>
    <w:rsid w:val="00D9713C"/>
    <w:rsid w:val="00D975F5"/>
    <w:rsid w:val="00D9789B"/>
    <w:rsid w:val="00D979CC"/>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6D0B"/>
    <w:rsid w:val="00DF74BE"/>
    <w:rsid w:val="00E00A71"/>
    <w:rsid w:val="00E00D01"/>
    <w:rsid w:val="00E012EF"/>
    <w:rsid w:val="00E0166E"/>
    <w:rsid w:val="00E0196E"/>
    <w:rsid w:val="00E01C9A"/>
    <w:rsid w:val="00E0236B"/>
    <w:rsid w:val="00E0251B"/>
    <w:rsid w:val="00E02E71"/>
    <w:rsid w:val="00E0377A"/>
    <w:rsid w:val="00E03813"/>
    <w:rsid w:val="00E04F6C"/>
    <w:rsid w:val="00E057D8"/>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2ABF"/>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1FA"/>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4BB6"/>
    <w:rsid w:val="00EE6246"/>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6F"/>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03D"/>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6974"/>
    <w:rsid w:val="00FE7336"/>
    <w:rsid w:val="00FE787C"/>
    <w:rsid w:val="00FE7A36"/>
    <w:rsid w:val="00FE7FD8"/>
    <w:rsid w:val="00FF0D3D"/>
    <w:rsid w:val="00FF0E60"/>
    <w:rsid w:val="00FF0F9D"/>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F00"/>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480.zip" TargetMode="External"/><Relationship Id="rId18" Type="http://schemas.openxmlformats.org/officeDocument/2006/relationships/hyperlink" Target="http://www.3gpp.org/ftp/TSG_RAN/WG1_RL1/TSGR1_102-e/Docs/R1-2006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2-e/Docs/R1-2005305.zip" TargetMode="External"/><Relationship Id="rId17" Type="http://schemas.openxmlformats.org/officeDocument/2006/relationships/hyperlink" Target="http://www.3gpp.org/ftp/TSG_RAN/WG1_RL1/TSGR1_102-e/Docs/R1-200597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58.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A3858-E533-4F06-A6FA-0B08AF27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186</TotalTime>
  <Pages>9</Pages>
  <Words>3110</Words>
  <Characters>16487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19558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24</cp:revision>
  <cp:lastPrinted>2008-01-30T22:09:00Z</cp:lastPrinted>
  <dcterms:created xsi:type="dcterms:W3CDTF">2020-08-24T07:20:00Z</dcterms:created>
  <dcterms:modified xsi:type="dcterms:W3CDTF">2020-08-25T04:19:00Z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