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af7"/>
              <w:numPr>
                <w:ilvl w:val="0"/>
                <w:numId w:val="32"/>
              </w:numPr>
              <w:rPr>
                <w:rFonts w:ascii="Times New Roman" w:eastAsia="等线" w:hAnsi="Times New Roman"/>
                <w:sz w:val="18"/>
                <w:lang w:val="en-US" w:eastAsia="zh-CN"/>
              </w:rPr>
            </w:pPr>
            <w:bookmarkStart w:id="0"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等线" w:hAnsi="Times New Roman"/>
                <w:sz w:val="20"/>
                <w:szCs w:val="24"/>
                <w:lang w:val="en-US" w:eastAsia="zh-CN"/>
              </w:rPr>
              <w:t>HD-FDD Cat M1 UEs</w:t>
            </w:r>
            <w:bookmarkEnd w:id="0"/>
            <w:bookmarkEnd w:id="1"/>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0C19DABD" w14:textId="041CD192" w:rsidR="009D037C"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21"/>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afa"/>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afa"/>
        <w:tblW w:w="0" w:type="auto"/>
        <w:tblLook w:val="04A0" w:firstRow="1" w:lastRow="0" w:firstColumn="1" w:lastColumn="0" w:noHBand="0" w:noVBand="1"/>
      </w:tblPr>
      <w:tblGrid>
        <w:gridCol w:w="1194"/>
        <w:gridCol w:w="1832"/>
        <w:gridCol w:w="6603"/>
      </w:tblGrid>
      <w:tr w:rsidR="00FA347A" w14:paraId="4E85DBFA" w14:textId="77777777" w:rsidTr="00FA347A">
        <w:tc>
          <w:tcPr>
            <w:tcW w:w="1133" w:type="dxa"/>
          </w:tcPr>
          <w:p w14:paraId="264E680A" w14:textId="2A1B83FB" w:rsidR="00FA347A" w:rsidRDefault="00FA347A" w:rsidP="00151C38">
            <w:pPr>
              <w:keepNext/>
              <w:keepLines/>
              <w:jc w:val="center"/>
              <w:rPr>
                <w:b/>
                <w:bCs/>
              </w:rPr>
            </w:pPr>
            <w:r>
              <w:rPr>
                <w:b/>
                <w:bCs/>
              </w:rPr>
              <w:lastRenderedPageBreak/>
              <w:t>Company</w:t>
            </w:r>
          </w:p>
        </w:tc>
        <w:tc>
          <w:tcPr>
            <w:tcW w:w="1839" w:type="dxa"/>
          </w:tcPr>
          <w:p w14:paraId="28FA0E38" w14:textId="7FE01844" w:rsidR="00FA347A" w:rsidRDefault="00FA347A" w:rsidP="00151C38">
            <w:pPr>
              <w:keepNext/>
              <w:keepLines/>
              <w:jc w:val="center"/>
              <w:rPr>
                <w:b/>
                <w:bCs/>
              </w:rPr>
            </w:pPr>
            <w:r>
              <w:rPr>
                <w:b/>
                <w:bCs/>
              </w:rPr>
              <w:t>Agree?</w:t>
            </w:r>
          </w:p>
        </w:tc>
        <w:tc>
          <w:tcPr>
            <w:tcW w:w="6657"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FA347A">
        <w:tc>
          <w:tcPr>
            <w:tcW w:w="1133" w:type="dxa"/>
          </w:tcPr>
          <w:p w14:paraId="0054E6DB" w14:textId="0833B487" w:rsidR="00FA347A" w:rsidRPr="00B534C5" w:rsidRDefault="00B534C5" w:rsidP="00151C38">
            <w:pPr>
              <w:keepNext/>
              <w:keepLines/>
              <w:jc w:val="both"/>
            </w:pPr>
            <w:r w:rsidRPr="00B534C5">
              <w:t>Qualcomm</w:t>
            </w:r>
          </w:p>
        </w:tc>
        <w:tc>
          <w:tcPr>
            <w:tcW w:w="1839" w:type="dxa"/>
          </w:tcPr>
          <w:p w14:paraId="54291BA6" w14:textId="1ECCB90F" w:rsidR="00FA347A" w:rsidRPr="00B534C5" w:rsidRDefault="00B534C5" w:rsidP="00151C38">
            <w:pPr>
              <w:keepNext/>
              <w:keepLines/>
              <w:jc w:val="both"/>
            </w:pPr>
            <w:r w:rsidRPr="00B534C5">
              <w:t>Yes</w:t>
            </w:r>
            <w:r>
              <w:t xml:space="preserve"> (but see comments)</w:t>
            </w:r>
          </w:p>
        </w:tc>
        <w:tc>
          <w:tcPr>
            <w:tcW w:w="6657"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FA347A">
        <w:tc>
          <w:tcPr>
            <w:tcW w:w="1133"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9"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57"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21"/>
      </w:pPr>
      <w:r>
        <w:t>2.2</w:t>
      </w:r>
      <w:r>
        <w:tab/>
      </w:r>
      <w:r w:rsidR="00DC5BCF">
        <w:t>Enabling of 14 HARQ processes</w:t>
      </w:r>
    </w:p>
    <w:p w14:paraId="466733CA" w14:textId="0E7A72AE" w:rsidR="00FA347A" w:rsidRDefault="00FA347A" w:rsidP="00FA347A">
      <w:pPr>
        <w:jc w:val="both"/>
      </w:pPr>
      <w:bookmarkStart w:id="4" w:name="_In-sequence_SDU_delivery"/>
      <w:bookmarkEnd w:id="4"/>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afa"/>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5" w:name="_Hlk48158981"/>
            <w:r w:rsidR="00DC5BCF" w:rsidRPr="00DC5BCF">
              <w:rPr>
                <w:sz w:val="20"/>
                <w:szCs w:val="20"/>
                <w:lang w:val="en-US"/>
              </w:rPr>
              <w:t>Introduce a new RRC configuration parameter to enable 14 HARQ processes.</w:t>
            </w:r>
            <w:bookmarkEnd w:id="5"/>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afa"/>
        <w:tblW w:w="0" w:type="auto"/>
        <w:tblLook w:val="04A0" w:firstRow="1" w:lastRow="0" w:firstColumn="1" w:lastColumn="0" w:noHBand="0" w:noVBand="1"/>
      </w:tblPr>
      <w:tblGrid>
        <w:gridCol w:w="1194"/>
        <w:gridCol w:w="1832"/>
        <w:gridCol w:w="6603"/>
      </w:tblGrid>
      <w:tr w:rsidR="00FA347A" w14:paraId="6DCFE054" w14:textId="77777777" w:rsidTr="00DC5A64">
        <w:tc>
          <w:tcPr>
            <w:tcW w:w="1133" w:type="dxa"/>
          </w:tcPr>
          <w:p w14:paraId="2E61B53A" w14:textId="77777777" w:rsidR="00FA347A" w:rsidRDefault="00FA347A" w:rsidP="00DC5A64">
            <w:pPr>
              <w:jc w:val="center"/>
              <w:rPr>
                <w:b/>
                <w:bCs/>
              </w:rPr>
            </w:pPr>
            <w:r>
              <w:rPr>
                <w:b/>
                <w:bCs/>
              </w:rPr>
              <w:t>Company</w:t>
            </w:r>
          </w:p>
        </w:tc>
        <w:tc>
          <w:tcPr>
            <w:tcW w:w="1839" w:type="dxa"/>
          </w:tcPr>
          <w:p w14:paraId="7572344E" w14:textId="77777777" w:rsidR="00FA347A" w:rsidRDefault="00FA347A" w:rsidP="00DC5A64">
            <w:pPr>
              <w:jc w:val="center"/>
              <w:rPr>
                <w:b/>
                <w:bCs/>
              </w:rPr>
            </w:pPr>
            <w:r>
              <w:rPr>
                <w:b/>
                <w:bCs/>
              </w:rPr>
              <w:t>Agree?</w:t>
            </w:r>
          </w:p>
        </w:tc>
        <w:tc>
          <w:tcPr>
            <w:tcW w:w="6657" w:type="dxa"/>
          </w:tcPr>
          <w:p w14:paraId="394D840E" w14:textId="77777777" w:rsidR="00FA347A" w:rsidRDefault="00FA347A" w:rsidP="00DC5A64">
            <w:pPr>
              <w:jc w:val="center"/>
              <w:rPr>
                <w:b/>
                <w:bCs/>
              </w:rPr>
            </w:pPr>
            <w:r>
              <w:rPr>
                <w:b/>
                <w:bCs/>
              </w:rPr>
              <w:t>Comments</w:t>
            </w:r>
          </w:p>
        </w:tc>
      </w:tr>
      <w:tr w:rsidR="00B534C5" w14:paraId="0E5BFC80" w14:textId="77777777" w:rsidTr="00DC5A64">
        <w:tc>
          <w:tcPr>
            <w:tcW w:w="1133" w:type="dxa"/>
          </w:tcPr>
          <w:p w14:paraId="5ADDEF26" w14:textId="56EB2C89" w:rsidR="00B534C5" w:rsidRDefault="00B534C5" w:rsidP="00B534C5">
            <w:pPr>
              <w:jc w:val="both"/>
              <w:rPr>
                <w:b/>
                <w:bCs/>
              </w:rPr>
            </w:pPr>
            <w:r w:rsidRPr="00B534C5">
              <w:t>Qualcomm</w:t>
            </w:r>
          </w:p>
        </w:tc>
        <w:tc>
          <w:tcPr>
            <w:tcW w:w="1839" w:type="dxa"/>
          </w:tcPr>
          <w:p w14:paraId="0F2C6FBB" w14:textId="74BD7F70" w:rsidR="00B534C5" w:rsidRDefault="00B534C5" w:rsidP="00B534C5">
            <w:pPr>
              <w:jc w:val="both"/>
              <w:rPr>
                <w:b/>
                <w:bCs/>
              </w:rPr>
            </w:pPr>
            <w:r w:rsidRPr="00B534C5">
              <w:t>Yes</w:t>
            </w:r>
            <w:r>
              <w:t xml:space="preserve"> (but see comments)</w:t>
            </w:r>
          </w:p>
        </w:tc>
        <w:tc>
          <w:tcPr>
            <w:tcW w:w="6657"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DC5A64">
        <w:tc>
          <w:tcPr>
            <w:tcW w:w="1133" w:type="dxa"/>
          </w:tcPr>
          <w:p w14:paraId="0928B632" w14:textId="2E825F14" w:rsidR="00697CB2" w:rsidRPr="00B534C5" w:rsidRDefault="00697CB2" w:rsidP="00B534C5">
            <w:pPr>
              <w:jc w:val="both"/>
              <w:rPr>
                <w:lang w:eastAsia="zh-CN"/>
              </w:rPr>
            </w:pPr>
            <w:r>
              <w:rPr>
                <w:rFonts w:hint="eastAsia"/>
                <w:lang w:eastAsia="zh-CN"/>
              </w:rPr>
              <w:t>ZTE</w:t>
            </w:r>
          </w:p>
        </w:tc>
        <w:tc>
          <w:tcPr>
            <w:tcW w:w="1839" w:type="dxa"/>
          </w:tcPr>
          <w:p w14:paraId="79E24BBE" w14:textId="5A86440D" w:rsidR="00697CB2" w:rsidRPr="00B534C5" w:rsidRDefault="00697CB2" w:rsidP="00B534C5">
            <w:pPr>
              <w:jc w:val="both"/>
              <w:rPr>
                <w:lang w:eastAsia="zh-CN"/>
              </w:rPr>
            </w:pPr>
            <w:r>
              <w:rPr>
                <w:rFonts w:hint="eastAsia"/>
                <w:lang w:eastAsia="zh-CN"/>
              </w:rPr>
              <w:t>Yes</w:t>
            </w:r>
          </w:p>
        </w:tc>
        <w:tc>
          <w:tcPr>
            <w:tcW w:w="6657"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21"/>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afa"/>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lastRenderedPageBreak/>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af7"/>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af7"/>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af7"/>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af7"/>
        <w:jc w:val="both"/>
        <w:rPr>
          <w:b/>
          <w:bCs/>
        </w:rPr>
      </w:pPr>
    </w:p>
    <w:tbl>
      <w:tblPr>
        <w:tblStyle w:val="afa"/>
        <w:tblW w:w="0" w:type="auto"/>
        <w:tblLook w:val="04A0" w:firstRow="1" w:lastRow="0" w:firstColumn="1" w:lastColumn="0" w:noHBand="0" w:noVBand="1"/>
      </w:tblPr>
      <w:tblGrid>
        <w:gridCol w:w="1194"/>
        <w:gridCol w:w="1829"/>
        <w:gridCol w:w="6606"/>
      </w:tblGrid>
      <w:tr w:rsidR="003F146F" w14:paraId="1703C813" w14:textId="77777777" w:rsidTr="00DC5A64">
        <w:tc>
          <w:tcPr>
            <w:tcW w:w="1133" w:type="dxa"/>
          </w:tcPr>
          <w:p w14:paraId="2B98EEF9" w14:textId="77777777" w:rsidR="003F146F" w:rsidRDefault="003F146F" w:rsidP="00DC5A64">
            <w:pPr>
              <w:jc w:val="center"/>
              <w:rPr>
                <w:b/>
                <w:bCs/>
              </w:rPr>
            </w:pPr>
            <w:r>
              <w:rPr>
                <w:b/>
                <w:bCs/>
              </w:rPr>
              <w:t>Company</w:t>
            </w:r>
          </w:p>
        </w:tc>
        <w:tc>
          <w:tcPr>
            <w:tcW w:w="1839" w:type="dxa"/>
          </w:tcPr>
          <w:p w14:paraId="251495A9" w14:textId="665E2107" w:rsidR="003F146F" w:rsidRDefault="003F146F" w:rsidP="00DC5A64">
            <w:pPr>
              <w:jc w:val="center"/>
              <w:rPr>
                <w:b/>
                <w:bCs/>
              </w:rPr>
            </w:pPr>
            <w:r>
              <w:rPr>
                <w:b/>
                <w:bCs/>
              </w:rPr>
              <w:t>Agree with Alt?</w:t>
            </w:r>
          </w:p>
        </w:tc>
        <w:tc>
          <w:tcPr>
            <w:tcW w:w="6657" w:type="dxa"/>
          </w:tcPr>
          <w:p w14:paraId="21BE27A6" w14:textId="77777777" w:rsidR="003F146F" w:rsidRDefault="003F146F" w:rsidP="00DC5A64">
            <w:pPr>
              <w:jc w:val="center"/>
              <w:rPr>
                <w:b/>
                <w:bCs/>
              </w:rPr>
            </w:pPr>
            <w:r>
              <w:rPr>
                <w:b/>
                <w:bCs/>
              </w:rPr>
              <w:t>Comments</w:t>
            </w:r>
          </w:p>
        </w:tc>
      </w:tr>
      <w:tr w:rsidR="003F146F" w14:paraId="1F0DD9BD" w14:textId="77777777" w:rsidTr="00DC5A64">
        <w:tc>
          <w:tcPr>
            <w:tcW w:w="1133" w:type="dxa"/>
          </w:tcPr>
          <w:p w14:paraId="071F404C" w14:textId="5E6E7F3D" w:rsidR="003F146F" w:rsidRPr="00B534C5" w:rsidRDefault="00B534C5" w:rsidP="00DC5A64">
            <w:pPr>
              <w:jc w:val="both"/>
            </w:pPr>
            <w:r w:rsidRPr="00B534C5">
              <w:t>Qualcomm</w:t>
            </w:r>
          </w:p>
        </w:tc>
        <w:tc>
          <w:tcPr>
            <w:tcW w:w="1839" w:type="dxa"/>
          </w:tcPr>
          <w:p w14:paraId="54F24A59" w14:textId="50143EAC" w:rsidR="003F146F" w:rsidRPr="00B534C5" w:rsidRDefault="00B534C5" w:rsidP="00DC5A64">
            <w:pPr>
              <w:jc w:val="both"/>
            </w:pPr>
            <w:r w:rsidRPr="00B534C5">
              <w:t>-</w:t>
            </w:r>
          </w:p>
        </w:tc>
        <w:tc>
          <w:tcPr>
            <w:tcW w:w="6657"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t xml:space="preserve">- presence of </w:t>
            </w:r>
            <w:r w:rsidRPr="00B534C5">
              <w:rPr>
                <w:b/>
                <w:bCs/>
              </w:rPr>
              <w:t>non-BL/CE subframes.</w:t>
            </w:r>
          </w:p>
          <w:p w14:paraId="6E1B0EA6" w14:textId="48ABC794" w:rsidR="00B534C5" w:rsidRPr="00B534C5" w:rsidRDefault="00B534C5" w:rsidP="00DC5A64">
            <w:pPr>
              <w:jc w:val="both"/>
            </w:pPr>
            <w:r w:rsidRPr="00B534C5">
              <w:t>At the same time</w:t>
            </w:r>
            <w:r>
              <w:t>, I think we should be able to agree that the case where none of this is present is also optimized for (see 2.4)</w:t>
            </w:r>
          </w:p>
        </w:tc>
      </w:tr>
      <w:tr w:rsidR="00697CB2" w:rsidRPr="00AA1E3D" w14:paraId="618F9BF5" w14:textId="77777777" w:rsidTr="00DC5A64">
        <w:tc>
          <w:tcPr>
            <w:tcW w:w="1133" w:type="dxa"/>
          </w:tcPr>
          <w:p w14:paraId="5F7CF10F" w14:textId="20E597C8" w:rsidR="00697CB2" w:rsidRPr="00697CB2" w:rsidRDefault="00697CB2" w:rsidP="00DC5A64">
            <w:pPr>
              <w:jc w:val="both"/>
              <w:rPr>
                <w:rFonts w:eastAsiaTheme="minorEastAsia"/>
                <w:lang w:eastAsia="zh-CN"/>
              </w:rPr>
            </w:pPr>
            <w:r>
              <w:rPr>
                <w:rFonts w:eastAsiaTheme="minorEastAsia"/>
              </w:rPr>
              <w:t>ZTE</w:t>
            </w:r>
          </w:p>
        </w:tc>
        <w:tc>
          <w:tcPr>
            <w:tcW w:w="1839" w:type="dxa"/>
          </w:tcPr>
          <w:p w14:paraId="5738C682" w14:textId="22FCA149" w:rsidR="00697CB2" w:rsidRPr="00B534C5" w:rsidRDefault="00697CB2" w:rsidP="00DC5A64">
            <w:pPr>
              <w:jc w:val="both"/>
              <w:rPr>
                <w:lang w:eastAsia="zh-CN"/>
              </w:rPr>
            </w:pPr>
            <w:r>
              <w:rPr>
                <w:rFonts w:hint="eastAsia"/>
                <w:lang w:eastAsia="zh-CN"/>
              </w:rPr>
              <w:t>-</w:t>
            </w:r>
          </w:p>
        </w:tc>
        <w:tc>
          <w:tcPr>
            <w:tcW w:w="6657"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21"/>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afa"/>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lastRenderedPageBreak/>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lastRenderedPageBreak/>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afa"/>
        <w:tblW w:w="0" w:type="auto"/>
        <w:tblLook w:val="04A0" w:firstRow="1" w:lastRow="0" w:firstColumn="1" w:lastColumn="0" w:noHBand="0" w:noVBand="1"/>
      </w:tblPr>
      <w:tblGrid>
        <w:gridCol w:w="1194"/>
        <w:gridCol w:w="1827"/>
        <w:gridCol w:w="6608"/>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The details of this (singaling / applicability to a subset of the HARQ 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af7"/>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af7"/>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宋体"/>
                <w:bCs/>
                <w:lang w:eastAsia="zh-CN"/>
              </w:rPr>
            </w:pPr>
            <w:r w:rsidRPr="0043259E">
              <w:rPr>
                <w:rFonts w:eastAsia="宋体" w:hint="eastAsia"/>
                <w:bCs/>
                <w:lang w:eastAsia="zh-CN"/>
              </w:rPr>
              <w:t>D</w:t>
            </w:r>
            <w:r w:rsidRPr="0043259E">
              <w:rPr>
                <w:rFonts w:eastAsia="宋体"/>
                <w:bCs/>
                <w:lang w:eastAsia="zh-CN"/>
              </w:rPr>
              <w:t>e</w:t>
            </w:r>
            <w:r w:rsidRPr="0043259E">
              <w:rPr>
                <w:rFonts w:eastAsia="宋体" w:hint="eastAsia"/>
                <w:bCs/>
                <w:lang w:eastAsia="zh-CN"/>
              </w:rPr>
              <w:t xml:space="preserve">tailed </w:t>
            </w:r>
            <w:r>
              <w:rPr>
                <w:rFonts w:eastAsia="宋体"/>
                <w:bCs/>
                <w:lang w:eastAsia="zh-CN"/>
              </w:rPr>
              <w:t>14 HARQ processes design can be decided in a later meeting.</w:t>
            </w:r>
          </w:p>
          <w:p w14:paraId="1757D514" w14:textId="4EFB22CD" w:rsidR="0043259E" w:rsidRDefault="0043259E" w:rsidP="00DC5A64">
            <w:pPr>
              <w:jc w:val="both"/>
              <w:rPr>
                <w:rFonts w:eastAsia="宋体"/>
                <w:bCs/>
                <w:lang w:eastAsia="zh-CN"/>
              </w:rPr>
            </w:pPr>
            <w:r>
              <w:rPr>
                <w:rFonts w:eastAsia="宋体"/>
                <w:bCs/>
                <w:lang w:eastAsia="zh-CN"/>
              </w:rPr>
              <w:t>Besides existing scheduling delay of 2, we are fine to introduce additional scheduling delay of 7</w:t>
            </w:r>
            <w:r w:rsidR="00264D83">
              <w:rPr>
                <w:rFonts w:eastAsia="宋体"/>
                <w:bCs/>
                <w:lang w:eastAsia="zh-CN"/>
              </w:rPr>
              <w:t>.</w:t>
            </w:r>
          </w:p>
          <w:p w14:paraId="42945DFB" w14:textId="62A5DA30" w:rsidR="00DE53EA" w:rsidRPr="00264D83" w:rsidRDefault="00264D83" w:rsidP="00DC5A64">
            <w:pPr>
              <w:jc w:val="both"/>
              <w:rPr>
                <w:rFonts w:eastAsia="宋体"/>
                <w:bCs/>
                <w:lang w:eastAsia="zh-CN"/>
              </w:rPr>
            </w:pPr>
            <w:r>
              <w:rPr>
                <w:rFonts w:eastAsia="宋体"/>
                <w:bCs/>
                <w:lang w:eastAsia="zh-CN"/>
              </w:rPr>
              <w:t xml:space="preserve">To support flexible bundling pattern, </w:t>
            </w:r>
            <w:r w:rsidR="0097313F">
              <w:rPr>
                <w:rFonts w:eastAsia="宋体"/>
                <w:bCs/>
                <w:lang w:eastAsia="zh-CN"/>
              </w:rPr>
              <w:t xml:space="preserve">we think </w:t>
            </w:r>
            <w:r>
              <w:rPr>
                <w:rFonts w:eastAsia="宋体"/>
                <w:bCs/>
                <w:lang w:eastAsia="zh-CN"/>
              </w:rPr>
              <w:t>at least all HARQ-ACK delay values in current spec should be suppor</w:t>
            </w:r>
            <w:r w:rsidR="00A71C71">
              <w:rPr>
                <w:rFonts w:eastAsia="宋体"/>
                <w:bCs/>
                <w:lang w:eastAsia="zh-CN"/>
              </w:rPr>
              <w:t>t</w:t>
            </w:r>
            <w:r>
              <w:rPr>
                <w:rFonts w:eastAsia="宋体"/>
                <w:bCs/>
                <w:lang w:eastAsia="zh-CN"/>
              </w:rPr>
              <w:t>ed for 14 HARQ processes design.</w:t>
            </w:r>
            <w:bookmarkStart w:id="6" w:name="_GoBack"/>
            <w:bookmarkEnd w:id="6"/>
          </w:p>
        </w:tc>
      </w:tr>
    </w:tbl>
    <w:p w14:paraId="24766EB8" w14:textId="1F9617A4" w:rsidR="008158D5" w:rsidRDefault="008158D5" w:rsidP="008158D5">
      <w:pPr>
        <w:pStyle w:val="21"/>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afa"/>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lastRenderedPageBreak/>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7" w:name="_Hlk48169260"/>
            <w:r w:rsidRPr="00AD7C6A">
              <w:rPr>
                <w:sz w:val="20"/>
                <w:szCs w:val="20"/>
                <w:lang w:val="en-US"/>
              </w:rPr>
              <w:t>FSS: support for DL multi-TB Grant case</w:t>
            </w:r>
            <w:bookmarkEnd w:id="7"/>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r>
        <w:rPr>
          <w:b/>
          <w:bCs/>
        </w:rPr>
        <w:t>.</w:t>
      </w:r>
    </w:p>
    <w:tbl>
      <w:tblPr>
        <w:tblStyle w:val="afa"/>
        <w:tblW w:w="0" w:type="auto"/>
        <w:tblLook w:val="04A0" w:firstRow="1" w:lastRow="0" w:firstColumn="1" w:lastColumn="0" w:noHBand="0" w:noVBand="1"/>
      </w:tblPr>
      <w:tblGrid>
        <w:gridCol w:w="1194"/>
        <w:gridCol w:w="1830"/>
        <w:gridCol w:w="6605"/>
      </w:tblGrid>
      <w:tr w:rsidR="008158D5" w14:paraId="706DA9D0" w14:textId="77777777" w:rsidTr="00DC5A64">
        <w:tc>
          <w:tcPr>
            <w:tcW w:w="1133" w:type="dxa"/>
          </w:tcPr>
          <w:p w14:paraId="7913AD49" w14:textId="77777777" w:rsidR="008158D5" w:rsidRDefault="008158D5" w:rsidP="00DC5A64">
            <w:pPr>
              <w:jc w:val="center"/>
              <w:rPr>
                <w:b/>
                <w:bCs/>
              </w:rPr>
            </w:pPr>
            <w:r>
              <w:rPr>
                <w:b/>
                <w:bCs/>
              </w:rPr>
              <w:t>Company</w:t>
            </w:r>
          </w:p>
        </w:tc>
        <w:tc>
          <w:tcPr>
            <w:tcW w:w="1839" w:type="dxa"/>
          </w:tcPr>
          <w:p w14:paraId="02EBCB39" w14:textId="71410545" w:rsidR="008158D5" w:rsidRDefault="009C36FA" w:rsidP="00DC5A64">
            <w:pPr>
              <w:jc w:val="center"/>
              <w:rPr>
                <w:b/>
                <w:bCs/>
              </w:rPr>
            </w:pPr>
            <w:r>
              <w:rPr>
                <w:b/>
                <w:bCs/>
              </w:rPr>
              <w:t>Agree</w:t>
            </w:r>
            <w:r w:rsidR="008158D5">
              <w:rPr>
                <w:b/>
                <w:bCs/>
              </w:rPr>
              <w:t>?</w:t>
            </w:r>
          </w:p>
        </w:tc>
        <w:tc>
          <w:tcPr>
            <w:tcW w:w="6657" w:type="dxa"/>
          </w:tcPr>
          <w:p w14:paraId="2AE00D5E" w14:textId="77777777" w:rsidR="008158D5" w:rsidRDefault="008158D5" w:rsidP="00DC5A64">
            <w:pPr>
              <w:jc w:val="center"/>
              <w:rPr>
                <w:b/>
                <w:bCs/>
              </w:rPr>
            </w:pPr>
            <w:r>
              <w:rPr>
                <w:b/>
                <w:bCs/>
              </w:rPr>
              <w:t>Comments</w:t>
            </w:r>
          </w:p>
        </w:tc>
      </w:tr>
      <w:tr w:rsidR="008158D5" w14:paraId="1C667F8F" w14:textId="77777777" w:rsidTr="00DC5A64">
        <w:tc>
          <w:tcPr>
            <w:tcW w:w="1133" w:type="dxa"/>
          </w:tcPr>
          <w:p w14:paraId="3A18792A" w14:textId="5169C09C" w:rsidR="008158D5" w:rsidRPr="00B534C5" w:rsidRDefault="00B534C5" w:rsidP="00DC5A64">
            <w:pPr>
              <w:jc w:val="both"/>
            </w:pPr>
            <w:r w:rsidRPr="00B534C5">
              <w:t>Qualcomm</w:t>
            </w:r>
          </w:p>
        </w:tc>
        <w:tc>
          <w:tcPr>
            <w:tcW w:w="1839" w:type="dxa"/>
          </w:tcPr>
          <w:p w14:paraId="57ED099D" w14:textId="28D9DDB1" w:rsidR="008158D5" w:rsidRPr="00B534C5" w:rsidRDefault="00B534C5" w:rsidP="00DC5A64">
            <w:pPr>
              <w:jc w:val="both"/>
            </w:pPr>
            <w:r w:rsidRPr="00B534C5">
              <w:t>Too early</w:t>
            </w:r>
          </w:p>
        </w:tc>
        <w:tc>
          <w:tcPr>
            <w:tcW w:w="6657"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DC5A64">
        <w:tc>
          <w:tcPr>
            <w:tcW w:w="1133" w:type="dxa"/>
          </w:tcPr>
          <w:p w14:paraId="2D005F58" w14:textId="437373E1" w:rsidR="00264D83" w:rsidRPr="00B534C5" w:rsidRDefault="00264D83" w:rsidP="00DC5A64">
            <w:pPr>
              <w:jc w:val="both"/>
              <w:rPr>
                <w:lang w:eastAsia="zh-CN"/>
              </w:rPr>
            </w:pPr>
            <w:r>
              <w:rPr>
                <w:rFonts w:hint="eastAsia"/>
                <w:lang w:eastAsia="zh-CN"/>
              </w:rPr>
              <w:t>ZTE</w:t>
            </w:r>
          </w:p>
        </w:tc>
        <w:tc>
          <w:tcPr>
            <w:tcW w:w="1839" w:type="dxa"/>
          </w:tcPr>
          <w:p w14:paraId="025672A9" w14:textId="7D7430CD" w:rsidR="00264D83" w:rsidRPr="00B534C5" w:rsidRDefault="00264D83" w:rsidP="00DC5A64">
            <w:pPr>
              <w:jc w:val="both"/>
            </w:pPr>
            <w:r w:rsidRPr="00B534C5">
              <w:t>Too early</w:t>
            </w:r>
          </w:p>
        </w:tc>
        <w:tc>
          <w:tcPr>
            <w:tcW w:w="6657"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bl>
    <w:p w14:paraId="59A83141" w14:textId="77777777" w:rsidR="008158D5" w:rsidRPr="0097313F" w:rsidRDefault="008158D5" w:rsidP="006E1C82">
      <w:pPr>
        <w:pStyle w:val="a8"/>
        <w:rPr>
          <w:b/>
          <w:bCs/>
        </w:rPr>
      </w:pPr>
    </w:p>
    <w:p w14:paraId="7203AEF7" w14:textId="08077319" w:rsidR="00F507D1" w:rsidRPr="00CE0424" w:rsidRDefault="00DF5DE2" w:rsidP="00CE0424">
      <w:pPr>
        <w:pStyle w:val="1"/>
      </w:pPr>
      <w:r>
        <w:t>5</w:t>
      </w:r>
      <w:r>
        <w:tab/>
      </w:r>
      <w:r w:rsidR="00F507D1" w:rsidRPr="00CE0424">
        <w:t>References</w:t>
      </w:r>
    </w:p>
    <w:bookmarkStart w:id="8" w:name="_Ref174151459"/>
    <w:bookmarkStart w:id="9" w:name="_Ref189809556"/>
    <w:bookmarkStart w:id="10" w:name="_Ref525824664"/>
    <w:bookmarkStart w:id="11"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C120E9" w:rsidP="00CF4F41">
      <w:pPr>
        <w:pStyle w:val="Reference"/>
      </w:pPr>
      <w:hyperlink r:id="rId11" w:history="1">
        <w:r w:rsidR="00E67862" w:rsidRPr="00457CBC">
          <w:rPr>
            <w:rStyle w:val="af"/>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C120E9" w:rsidP="00CF4F41">
      <w:pPr>
        <w:pStyle w:val="Reference"/>
      </w:pPr>
      <w:hyperlink r:id="rId12" w:history="1">
        <w:r w:rsidR="00E67862" w:rsidRPr="00457CBC">
          <w:rPr>
            <w:rStyle w:val="af"/>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C120E9" w:rsidP="00CF4F41">
      <w:pPr>
        <w:pStyle w:val="Reference"/>
      </w:pPr>
      <w:hyperlink r:id="rId13" w:history="1">
        <w:r w:rsidR="00E67862" w:rsidRPr="00457CBC">
          <w:rPr>
            <w:rStyle w:val="af"/>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C120E9" w:rsidP="00CF4F41">
      <w:pPr>
        <w:pStyle w:val="Reference"/>
      </w:pPr>
      <w:hyperlink r:id="rId14" w:history="1">
        <w:r w:rsidR="00E67862" w:rsidRPr="00457CBC">
          <w:rPr>
            <w:rStyle w:val="af"/>
          </w:rPr>
          <w:t>R1-2005558</w:t>
        </w:r>
      </w:hyperlink>
      <w:r w:rsidR="00E67862">
        <w:t>, “Support of 14 HARQ processes in DL in LTE-MTC,” Ericsson, RAN1 #102-e, Electronic Meeting, August 17-28, 2020.</w:t>
      </w:r>
    </w:p>
    <w:p w14:paraId="596AC5B7" w14:textId="0B460F2A" w:rsidR="00E67862" w:rsidRDefault="00C120E9" w:rsidP="00CF4F41">
      <w:pPr>
        <w:pStyle w:val="Reference"/>
      </w:pPr>
      <w:hyperlink r:id="rId15" w:history="1">
        <w:r w:rsidR="00E67862" w:rsidRPr="00457CBC">
          <w:rPr>
            <w:rStyle w:val="af"/>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C120E9" w:rsidP="00CF4F41">
      <w:pPr>
        <w:pStyle w:val="Reference"/>
      </w:pPr>
      <w:hyperlink r:id="rId16" w:history="1">
        <w:r w:rsidR="00604D1B" w:rsidRPr="00457CBC">
          <w:rPr>
            <w:rStyle w:val="af"/>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C120E9" w:rsidP="00CF4F41">
      <w:pPr>
        <w:pStyle w:val="Reference"/>
      </w:pPr>
      <w:hyperlink r:id="rId17" w:history="1">
        <w:r w:rsidR="00604D1B" w:rsidRPr="00457CBC">
          <w:rPr>
            <w:rStyle w:val="af"/>
          </w:rPr>
          <w:t>R1-2006193</w:t>
        </w:r>
      </w:hyperlink>
      <w:r w:rsidR="00604D1B">
        <w:t>, “Support of 14 HARQ processes and scheduling delay,” Qualcomm Incorporated, RAN1 #102-e, Electronic Meeting, August 17-28, 2020.</w:t>
      </w:r>
    </w:p>
    <w:bookmarkEnd w:id="8"/>
    <w:bookmarkEnd w:id="9"/>
    <w:bookmarkEnd w:id="10"/>
    <w:bookmarkEnd w:id="11"/>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B1AFA" w14:textId="77777777" w:rsidR="00C120E9" w:rsidRDefault="00C120E9">
      <w:r>
        <w:separator/>
      </w:r>
    </w:p>
  </w:endnote>
  <w:endnote w:type="continuationSeparator" w:id="0">
    <w:p w14:paraId="58C7B8EE" w14:textId="77777777" w:rsidR="00C120E9" w:rsidRDefault="00C120E9">
      <w:r>
        <w:continuationSeparator/>
      </w:r>
    </w:p>
  </w:endnote>
  <w:endnote w:type="continuationNotice" w:id="1">
    <w:p w14:paraId="21AF685A" w14:textId="77777777" w:rsidR="00C120E9" w:rsidRDefault="00C120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宋体"/>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777777" w:rsidR="005B0F5B" w:rsidRDefault="005B0F5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057F4">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057F4">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C6EA3" w14:textId="77777777" w:rsidR="00C120E9" w:rsidRDefault="00C120E9">
      <w:r>
        <w:separator/>
      </w:r>
    </w:p>
  </w:footnote>
  <w:footnote w:type="continuationSeparator" w:id="0">
    <w:p w14:paraId="673CF7B5" w14:textId="77777777" w:rsidR="00C120E9" w:rsidRDefault="00C120E9">
      <w:r>
        <w:continuationSeparator/>
      </w:r>
    </w:p>
  </w:footnote>
  <w:footnote w:type="continuationNotice" w:id="1">
    <w:p w14:paraId="46BD4481" w14:textId="77777777" w:rsidR="00C120E9" w:rsidRDefault="00C120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
  </w:num>
  <w:num w:numId="4">
    <w:abstractNumId w:val="23"/>
  </w:num>
  <w:num w:numId="5">
    <w:abstractNumId w:val="25"/>
  </w:num>
  <w:num w:numId="6">
    <w:abstractNumId w:val="27"/>
  </w:num>
  <w:num w:numId="7">
    <w:abstractNumId w:val="11"/>
  </w:num>
  <w:num w:numId="8">
    <w:abstractNumId w:val="13"/>
  </w:num>
  <w:num w:numId="9">
    <w:abstractNumId w:val="6"/>
  </w:num>
  <w:num w:numId="10">
    <w:abstractNumId w:val="35"/>
  </w:num>
  <w:num w:numId="11">
    <w:abstractNumId w:val="16"/>
  </w:num>
  <w:num w:numId="12">
    <w:abstractNumId w:val="30"/>
  </w:num>
  <w:num w:numId="13">
    <w:abstractNumId w:val="24"/>
  </w:num>
  <w:num w:numId="14">
    <w:abstractNumId w:val="15"/>
  </w:num>
  <w:num w:numId="15">
    <w:abstractNumId w:val="37"/>
  </w:num>
  <w:num w:numId="16">
    <w:abstractNumId w:val="17"/>
  </w:num>
  <w:num w:numId="17">
    <w:abstractNumId w:val="8"/>
  </w:num>
  <w:num w:numId="18">
    <w:abstractNumId w:val="32"/>
  </w:num>
  <w:num w:numId="19">
    <w:abstractNumId w:val="31"/>
  </w:num>
  <w:num w:numId="20">
    <w:abstractNumId w:val="4"/>
  </w:num>
  <w:num w:numId="21">
    <w:abstractNumId w:val="9"/>
  </w:num>
  <w:num w:numId="22">
    <w:abstractNumId w:val="7"/>
  </w:num>
  <w:num w:numId="23">
    <w:abstractNumId w:val="34"/>
  </w:num>
  <w:num w:numId="24">
    <w:abstractNumId w:val="3"/>
  </w:num>
  <w:num w:numId="25">
    <w:abstractNumId w:val="26"/>
  </w:num>
  <w:num w:numId="26">
    <w:abstractNumId w:val="29"/>
  </w:num>
  <w:num w:numId="27">
    <w:abstractNumId w:val="19"/>
  </w:num>
  <w:num w:numId="28">
    <w:abstractNumId w:val="5"/>
  </w:num>
  <w:num w:numId="29">
    <w:abstractNumId w:val="1"/>
  </w:num>
  <w:num w:numId="30">
    <w:abstractNumId w:val="0"/>
  </w:num>
  <w:num w:numId="31">
    <w:abstractNumId w:val="23"/>
  </w:num>
  <w:num w:numId="32">
    <w:abstractNumId w:val="10"/>
  </w:num>
  <w:num w:numId="33">
    <w:abstractNumId w:val="20"/>
  </w:num>
  <w:num w:numId="34">
    <w:abstractNumId w:val="36"/>
  </w:num>
  <w:num w:numId="35">
    <w:abstractNumId w:val="33"/>
  </w:num>
  <w:num w:numId="36">
    <w:abstractNumId w:val="12"/>
  </w:num>
  <w:num w:numId="37">
    <w:abstractNumId w:val="14"/>
  </w:num>
  <w:num w:numId="38">
    <w:abstractNumId w:val="28"/>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97CB2"/>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ê¥¹¥È¶ÎÂä"/>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
    <w:name w:val="Unresolved Mention"/>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53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480.zip" TargetMode="External"/><Relationship Id="rId17" Type="http://schemas.openxmlformats.org/officeDocument/2006/relationships/hyperlink" Target="http://www.3gpp.org/ftp/TSG_RAN/WG1_RL1/TSGR1_102-e/Docs/R1-200619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7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30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940.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DEAB7723-C69C-493B-8940-E8F93C7F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159</TotalTime>
  <Pages>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10719</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ZTE</cp:lastModifiedBy>
  <cp:revision>10</cp:revision>
  <cp:lastPrinted>2008-01-30T22:09:00Z</cp:lastPrinted>
  <dcterms:created xsi:type="dcterms:W3CDTF">2020-08-20T04:07:00Z</dcterms:created>
  <dcterms:modified xsi:type="dcterms:W3CDTF">2020-08-20T07:25:00Z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