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ZTE/Sanechips, Huawei/HiSi, NEC, CMCC, QC, Interdigital, Sharp, EURECOM (10)</w:t>
            </w:r>
          </w:p>
        </w:tc>
        <w:tc>
          <w:tcPr>
            <w:tcW w:w="2430" w:type="dxa"/>
          </w:tcPr>
          <w:p w14:paraId="3B5CCF11" w14:textId="53FC4349" w:rsidR="0076243F" w:rsidRPr="00D31E03" w:rsidRDefault="0076243F" w:rsidP="000D294D">
            <w:pPr>
              <w:spacing w:before="0" w:after="0"/>
              <w:jc w:val="left"/>
            </w:pPr>
            <w:r w:rsidRPr="00D31E03">
              <w:t>IITH, CeWiT, IITM, Reliance Jio, Tejas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Huawei/HiSi,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IITH, CeWiT, IITM, Reliance Jio, Tejas Networks, ZTE/Sanechips,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ZTE/Sanechips, CATT, Ericsson, QC, Samsung (7)</w:t>
            </w:r>
          </w:p>
        </w:tc>
        <w:tc>
          <w:tcPr>
            <w:tcW w:w="2430" w:type="dxa"/>
          </w:tcPr>
          <w:p w14:paraId="50B40833" w14:textId="6E54ED79" w:rsidR="0076243F" w:rsidRPr="00D31E03" w:rsidRDefault="0076243F" w:rsidP="000D294D">
            <w:pPr>
              <w:spacing w:before="0" w:after="0"/>
              <w:jc w:val="left"/>
            </w:pPr>
            <w:r w:rsidRPr="00D31E03">
              <w:t>Huawei/HiSi,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IITH, CeWiT, IITM, Reliance Jio, Tejas Networks (5)</w:t>
            </w:r>
          </w:p>
        </w:tc>
        <w:tc>
          <w:tcPr>
            <w:tcW w:w="2430" w:type="dxa"/>
          </w:tcPr>
          <w:p w14:paraId="3A2A0557" w14:textId="77CB3F9B" w:rsidR="0076243F" w:rsidRPr="00D31E03" w:rsidRDefault="0076243F" w:rsidP="000D294D">
            <w:pPr>
              <w:spacing w:before="0" w:after="0"/>
              <w:jc w:val="left"/>
            </w:pPr>
            <w:r w:rsidRPr="00D31E03">
              <w:t>ZTE/Sanechips,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IITH, CeWiT, IITM, Reliance Jio, Tejas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 xml:space="preserve">Samsung, ZTE/Sanechips, IITH, CeWiT, IITM, </w:t>
            </w:r>
            <w:r w:rsidRPr="00D31E03">
              <w:lastRenderedPageBreak/>
              <w:t>Reliance Jio, Tejas Networks, CMCC, Interdigital, OPPO, E///, Huawei/HiSi, Sony, Wilus,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ZTE/Sanechips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Intel, NEC, Panasonic, Wilus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Huawei/HiSi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Huawei/HiSi, Sony, Samsung, IITH, CeWiT, IITM, Reliance Jio, Tejas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ZTE/Sanechips, Huawei/HiSi,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ZTE/Sanechips,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ZTE/Sane</w:t>
            </w:r>
            <w:r w:rsidR="00C27ACE">
              <w:t>c</w:t>
            </w:r>
            <w:r w:rsidRPr="00D31E03">
              <w:t>hips, CMCC, CATT, Nokia/NSB, E///, Huawei/HiSi,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ZTE/Sanechips,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rPr>
      </w:pPr>
      <w:bookmarkStart w:id="7" w:name="_Hlk49248398"/>
    </w:p>
    <w:p w14:paraId="45E024AB" w14:textId="77777777" w:rsidR="00677506" w:rsidRDefault="00677506" w:rsidP="00677506">
      <w:pPr>
        <w:spacing w:after="0"/>
        <w:rPr>
          <w:rStyle w:val="Emphasis"/>
          <w:i w:val="0"/>
          <w:iCs w:val="0"/>
          <w:highlight w:val="green"/>
        </w:rPr>
      </w:pPr>
    </w:p>
    <w:p w14:paraId="3A78A628" w14:textId="3B18EA45" w:rsidR="00677506" w:rsidRPr="008659EB" w:rsidRDefault="00677506" w:rsidP="00677506">
      <w:pPr>
        <w:spacing w:after="0"/>
        <w:rPr>
          <w:rStyle w:val="Emphasis"/>
          <w:i w:val="0"/>
          <w:iCs w:val="0"/>
          <w:highlight w:val="green"/>
        </w:rPr>
      </w:pPr>
      <w:r w:rsidRPr="008659EB">
        <w:rPr>
          <w:rStyle w:val="Emphasis"/>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v.s.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Relay (including sidelink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p w14:paraId="410E891C" w14:textId="6E1E6CFF" w:rsidR="00E90E2C" w:rsidRDefault="00E90E2C" w:rsidP="00E90E2C">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7F4EDF60" w:rsidR="009854E3"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bookmarkEnd w:id="7"/>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it also seems not necessary since the PUCCH transmission is postponed due to collision with DL resource or canceled by SFI. The number of PUCCH repetitions seems enough.</w:t>
            </w:r>
          </w:p>
          <w:p w14:paraId="789EA442" w14:textId="77777777"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IITH, IITM, CEWIT, Tejas Networks, Reliance Jio</w:t>
            </w:r>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2160"/>
        <w:gridCol w:w="5040"/>
      </w:tblGrid>
      <w:tr w:rsidR="005D1C30" w14:paraId="5BBE6A80" w14:textId="52B9855D" w:rsidTr="005D1C30">
        <w:trPr>
          <w:jc w:val="center"/>
        </w:trPr>
        <w:tc>
          <w:tcPr>
            <w:tcW w:w="1255" w:type="dxa"/>
          </w:tcPr>
          <w:p w14:paraId="1C8A9D4A" w14:textId="77777777" w:rsidR="005D1C30" w:rsidRDefault="005D1C30" w:rsidP="005D1C30">
            <w:pPr>
              <w:spacing w:before="0" w:after="0"/>
              <w:jc w:val="left"/>
            </w:pPr>
            <w:r>
              <w:t>Company name</w:t>
            </w:r>
          </w:p>
        </w:tc>
        <w:tc>
          <w:tcPr>
            <w:tcW w:w="2160" w:type="dxa"/>
          </w:tcPr>
          <w:p w14:paraId="0CC0CE7E" w14:textId="3A51BB3C" w:rsidR="005D1C30" w:rsidRDefault="005D1C30" w:rsidP="005D1C30">
            <w:pPr>
              <w:spacing w:before="0" w:after="0"/>
              <w:jc w:val="left"/>
            </w:pPr>
            <w:r>
              <w:t xml:space="preserve">Answer to question 1 </w:t>
            </w:r>
          </w:p>
        </w:tc>
        <w:tc>
          <w:tcPr>
            <w:tcW w:w="504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5D1C30">
        <w:trPr>
          <w:jc w:val="center"/>
        </w:trPr>
        <w:tc>
          <w:tcPr>
            <w:tcW w:w="1255" w:type="dxa"/>
          </w:tcPr>
          <w:p w14:paraId="33088937" w14:textId="47206A77" w:rsidR="005D1C30" w:rsidRDefault="006F0778" w:rsidP="005D1C30">
            <w:pPr>
              <w:spacing w:before="0" w:after="0"/>
              <w:jc w:val="left"/>
              <w:rPr>
                <w:lang w:eastAsia="zh-CN"/>
              </w:rPr>
            </w:pPr>
            <w:r>
              <w:rPr>
                <w:lang w:eastAsia="zh-CN"/>
              </w:rPr>
              <w:t>InterDigital</w:t>
            </w:r>
          </w:p>
        </w:tc>
        <w:tc>
          <w:tcPr>
            <w:tcW w:w="2160" w:type="dxa"/>
          </w:tcPr>
          <w:p w14:paraId="60EC1D91" w14:textId="75188169" w:rsidR="005D1C30" w:rsidRDefault="006F0778" w:rsidP="005D1C30">
            <w:pPr>
              <w:spacing w:before="0" w:after="0"/>
              <w:rPr>
                <w:lang w:eastAsia="zh-CN"/>
              </w:rPr>
            </w:pPr>
            <w:r>
              <w:rPr>
                <w:lang w:eastAsia="zh-CN"/>
              </w:rPr>
              <w:t>Yes, for now</w:t>
            </w:r>
          </w:p>
        </w:tc>
        <w:tc>
          <w:tcPr>
            <w:tcW w:w="504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r>
              <w:rPr>
                <w:lang w:eastAsia="zh-CN"/>
              </w:rPr>
              <w:t xml:space="preserve">Proposal : For PUCCH </w:t>
            </w:r>
            <w:r w:rsidR="00BC35CD">
              <w:rPr>
                <w:lang w:eastAsia="zh-CN"/>
              </w:rPr>
              <w:t>evaluation</w:t>
            </w:r>
            <w:r>
              <w:rPr>
                <w:lang w:eastAsia="zh-CN"/>
              </w:rPr>
              <w:t>, if applicable, additional evaluation assumptions are reported by companies.</w:t>
            </w:r>
          </w:p>
        </w:tc>
      </w:tr>
      <w:tr w:rsidR="005D1C30" w14:paraId="08CD0C0F" w14:textId="77777777" w:rsidTr="005D1C30">
        <w:tblPrEx>
          <w:jc w:val="left"/>
        </w:tblPrEx>
        <w:tc>
          <w:tcPr>
            <w:tcW w:w="1255" w:type="dxa"/>
          </w:tcPr>
          <w:p w14:paraId="72EB5544" w14:textId="77777777" w:rsidR="005D1C30" w:rsidRDefault="005D1C30" w:rsidP="00063080">
            <w:pPr>
              <w:spacing w:before="0" w:after="0"/>
              <w:jc w:val="left"/>
              <w:rPr>
                <w:lang w:eastAsia="zh-CN"/>
              </w:rPr>
            </w:pPr>
          </w:p>
        </w:tc>
        <w:tc>
          <w:tcPr>
            <w:tcW w:w="2160" w:type="dxa"/>
          </w:tcPr>
          <w:p w14:paraId="49330F0F" w14:textId="77777777" w:rsidR="005D1C30" w:rsidRDefault="005D1C30" w:rsidP="00063080">
            <w:pPr>
              <w:spacing w:before="0" w:after="0"/>
              <w:rPr>
                <w:lang w:eastAsia="zh-CN"/>
              </w:rPr>
            </w:pPr>
          </w:p>
        </w:tc>
        <w:tc>
          <w:tcPr>
            <w:tcW w:w="5040" w:type="dxa"/>
          </w:tcPr>
          <w:p w14:paraId="46D587F1" w14:textId="77777777" w:rsidR="005D1C30" w:rsidRDefault="005D1C30" w:rsidP="00063080">
            <w:pPr>
              <w:spacing w:before="0" w:after="0"/>
              <w:rPr>
                <w:lang w:eastAsia="zh-CN"/>
              </w:rPr>
            </w:pPr>
          </w:p>
        </w:tc>
      </w:tr>
      <w:tr w:rsidR="005D1C30" w14:paraId="013604F1" w14:textId="77777777" w:rsidTr="005D1C30">
        <w:tblPrEx>
          <w:jc w:val="left"/>
        </w:tblPrEx>
        <w:tc>
          <w:tcPr>
            <w:tcW w:w="1255" w:type="dxa"/>
          </w:tcPr>
          <w:p w14:paraId="3D545751" w14:textId="77777777" w:rsidR="005D1C30" w:rsidRDefault="005D1C30" w:rsidP="00063080">
            <w:pPr>
              <w:spacing w:before="0" w:after="0"/>
              <w:jc w:val="left"/>
              <w:rPr>
                <w:lang w:eastAsia="zh-CN"/>
              </w:rPr>
            </w:pPr>
          </w:p>
        </w:tc>
        <w:tc>
          <w:tcPr>
            <w:tcW w:w="2160" w:type="dxa"/>
          </w:tcPr>
          <w:p w14:paraId="67A69D48" w14:textId="77777777" w:rsidR="005D1C30" w:rsidRDefault="005D1C30" w:rsidP="00063080">
            <w:pPr>
              <w:spacing w:before="0" w:after="0"/>
              <w:rPr>
                <w:lang w:eastAsia="zh-CN"/>
              </w:rPr>
            </w:pPr>
          </w:p>
        </w:tc>
        <w:tc>
          <w:tcPr>
            <w:tcW w:w="5040" w:type="dxa"/>
          </w:tcPr>
          <w:p w14:paraId="7DECD1B5" w14:textId="77777777" w:rsidR="005D1C30" w:rsidRDefault="005D1C30" w:rsidP="00063080">
            <w:pPr>
              <w:spacing w:before="0" w:after="0"/>
              <w:rPr>
                <w:lang w:eastAsia="zh-CN"/>
              </w:rPr>
            </w:pPr>
          </w:p>
        </w:tc>
      </w:tr>
      <w:tr w:rsidR="005D1C30" w14:paraId="2A4AAD63" w14:textId="77777777" w:rsidTr="005D1C30">
        <w:tblPrEx>
          <w:jc w:val="left"/>
        </w:tblPrEx>
        <w:tc>
          <w:tcPr>
            <w:tcW w:w="1255" w:type="dxa"/>
          </w:tcPr>
          <w:p w14:paraId="10685284" w14:textId="77777777" w:rsidR="005D1C30" w:rsidRDefault="005D1C30" w:rsidP="00063080">
            <w:pPr>
              <w:spacing w:before="0" w:after="0"/>
              <w:jc w:val="left"/>
              <w:rPr>
                <w:lang w:eastAsia="zh-CN"/>
              </w:rPr>
            </w:pPr>
          </w:p>
        </w:tc>
        <w:tc>
          <w:tcPr>
            <w:tcW w:w="2160" w:type="dxa"/>
          </w:tcPr>
          <w:p w14:paraId="0D3257F1" w14:textId="77777777" w:rsidR="005D1C30" w:rsidRDefault="005D1C30" w:rsidP="00063080">
            <w:pPr>
              <w:spacing w:before="0" w:after="0"/>
              <w:rPr>
                <w:lang w:eastAsia="zh-CN"/>
              </w:rPr>
            </w:pPr>
          </w:p>
        </w:tc>
        <w:tc>
          <w:tcPr>
            <w:tcW w:w="5040" w:type="dxa"/>
          </w:tcPr>
          <w:p w14:paraId="5F646A30" w14:textId="77777777" w:rsidR="005D1C30" w:rsidRDefault="005D1C30" w:rsidP="00063080">
            <w:pPr>
              <w:spacing w:before="0" w:after="0"/>
              <w:rPr>
                <w:lang w:eastAsia="zh-CN"/>
              </w:rPr>
            </w:pPr>
          </w:p>
        </w:tc>
      </w:tr>
    </w:tbl>
    <w:p w14:paraId="0E1CDE00" w14:textId="77777777" w:rsidR="00677506" w:rsidRDefault="00677506" w:rsidP="000011F0"/>
    <w:p w14:paraId="43CE9D5B" w14:textId="77777777" w:rsidR="00677506" w:rsidRPr="000011F0" w:rsidRDefault="00677506" w:rsidP="000011F0"/>
    <w:p w14:paraId="657E25EA" w14:textId="21C8DC2A" w:rsidR="00C87895" w:rsidRPr="00D31E03" w:rsidRDefault="00C87895" w:rsidP="00C87895">
      <w:pPr>
        <w:pStyle w:val="Heading1"/>
        <w:jc w:val="both"/>
      </w:pPr>
      <w:r w:rsidRPr="00D31E03">
        <w:lastRenderedPageBreak/>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IITH, CeWiT, IITM, Reliance Jio, Tejas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w:t>
            </w:r>
            <w:r>
              <w:lastRenderedPageBreak/>
              <w:t>PUCCH 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The </w:t>
            </w:r>
            <w:r>
              <w:lastRenderedPageBreak/>
              <w:t>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lastRenderedPageBreak/>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Regarding the detailed schemes of dmrs-less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Coding gains expressed wrt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 xml:space="preserve">Substantial spec impact regarding sequence design </w:t>
            </w:r>
            <w:r w:rsidRPr="00E86B30">
              <w:lastRenderedPageBreak/>
              <w:t>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lastRenderedPageBreak/>
              <w:t xml:space="preserve">We share similar view as Samsung/Nokia and </w:t>
            </w:r>
            <w:r>
              <w:lastRenderedPageBreak/>
              <w:t xml:space="preserve">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lastRenderedPageBreak/>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 xml:space="preserve">This schemes wastes zero resources towards DMRS. All available power and time-freq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lastRenderedPageBreak/>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complexity  and </w:t>
            </w:r>
            <w:r>
              <w:lastRenderedPageBreak/>
              <w:t>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IITH, CeWiT, IITM, Reliance Jio, Tejas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NR IIoT/URLLC Enhancemen</w:t>
            </w:r>
            <w:r w:rsidRPr="00830FED">
              <w:lastRenderedPageBreak/>
              <w:t>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In our contribution, the idea is not exactly considering “PUSCH repetition type B like” approach. The idea is some how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w:t>
            </w:r>
            <w:r w:rsidRPr="00A65A57">
              <w:rPr>
                <w:rFonts w:asciiTheme="minorHAnsi" w:eastAsia="Times New Roman" w:hAnsiTheme="minorHAnsi" w:cstheme="minorHAnsi"/>
              </w:rPr>
              <w:lastRenderedPageBreak/>
              <w:t xml:space="preserve">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the  solution only for TDD and short PUCCH format? We are open to discuss the </w:t>
            </w:r>
            <w:r>
              <w:lastRenderedPageBreak/>
              <w:t>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lastRenderedPageBreak/>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w:t>
            </w:r>
            <w:r>
              <w:lastRenderedPageBreak/>
              <w:t>be wasteful for transmit multiple times without adapatation.</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We’re open to discuss the details of the indication later, e.g. in a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w:t>
            </w:r>
            <w:r>
              <w:lastRenderedPageBreak/>
              <w:t>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w:t>
            </w:r>
            <w:r>
              <w:lastRenderedPageBreak/>
              <w:t>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IITH, CeWiT, IITM, Reliance Jio, Tejas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much motivation on </w:t>
            </w:r>
            <w:r>
              <w:rPr>
                <w:rFonts w:hint="eastAsia"/>
              </w:rPr>
              <w:lastRenderedPageBreak/>
              <w:t>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IITH, CeWiT, IITM, Reliance Jio, Tejas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w:t>
            </w:r>
            <w:r>
              <w:lastRenderedPageBreak/>
              <w:t xml:space="preserve">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IITH, CeWiT, IITM, Reliance Jio, Tejas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 xml:space="preserve">DMRS sharing for PUCCH repetition improves channel </w:t>
            </w:r>
            <w:r>
              <w:lastRenderedPageBreak/>
              <w:t>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w:t>
            </w:r>
            <w:r>
              <w:lastRenderedPageBreak/>
              <w:t>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Downlink peformance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lastRenderedPageBreak/>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lastRenderedPageBreak/>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IITH, CeWiT, IITM, Reliance Jio, Tejas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Agree with Samsumg wrt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w:t>
            </w:r>
            <w:r w:rsidRPr="006948A6">
              <w:lastRenderedPageBreak/>
              <w:t>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 xml:space="preserve">Frequency hopping enhancement combining with repetition and </w:t>
            </w:r>
            <w:r>
              <w:lastRenderedPageBreak/>
              <w:t>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 xml:space="preserve">Similar solution can </w:t>
            </w:r>
            <w:r>
              <w:lastRenderedPageBreak/>
              <w:t>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lastRenderedPageBreak/>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may </w:t>
            </w:r>
            <w:r>
              <w:lastRenderedPageBreak/>
              <w:t>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IITH, CeWiT, IITM, Reliance Jio, Tejas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w:t>
            </w:r>
            <w:r>
              <w:lastRenderedPageBreak/>
              <w:t>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IITH, CeWiT, IITM, Reliance Jio, Tejas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Low priority. Being studied in R17 eURLLC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In our view this should be considered as a lowe-priority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lastRenderedPageBreak/>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enh.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lastRenderedPageBreak/>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lastRenderedPageBreak/>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Heading2"/>
      </w:pPr>
      <w:r w:rsidRPr="00D31E03">
        <w:t>Relay (including sidelink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684C9A"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684C9A"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684C9A"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684C9A"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684C9A"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684C9A"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684C9A"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684C9A"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684C9A"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684C9A"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684C9A"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684C9A"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684C9A"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684C9A"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IITH, CeWiT, IITM, Reliance Jio, Tejas Networks</w:t>
            </w:r>
          </w:p>
        </w:tc>
      </w:tr>
      <w:tr w:rsidR="001B723E" w:rsidRPr="00D31E03" w14:paraId="7CB03F6A" w14:textId="77777777" w:rsidTr="001B723E">
        <w:trPr>
          <w:trHeight w:val="264"/>
        </w:trPr>
        <w:tc>
          <w:tcPr>
            <w:tcW w:w="1255" w:type="dxa"/>
            <w:hideMark/>
          </w:tcPr>
          <w:p w14:paraId="3247A83D" w14:textId="0E519F24" w:rsidR="001B723E" w:rsidRPr="00D31E03" w:rsidRDefault="00684C9A"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684C9A"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684C9A"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684C9A"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684C9A"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684C9A"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90DAE" w14:textId="77777777" w:rsidR="00684C9A" w:rsidRDefault="00684C9A">
      <w:r>
        <w:separator/>
      </w:r>
    </w:p>
  </w:endnote>
  <w:endnote w:type="continuationSeparator" w:id="0">
    <w:p w14:paraId="7AA1C6B2" w14:textId="77777777" w:rsidR="00684C9A" w:rsidRDefault="00684C9A">
      <w:r>
        <w:continuationSeparator/>
      </w:r>
    </w:p>
  </w:endnote>
  <w:endnote w:type="continuationNotice" w:id="1">
    <w:p w14:paraId="4D7A7205" w14:textId="77777777" w:rsidR="00684C9A" w:rsidRDefault="00684C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367CEB" w:rsidRDefault="00367CE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67CEB" w:rsidRDefault="00367CE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E372962" w:rsidR="00367CEB" w:rsidRDefault="00367CE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367CEB" w:rsidRDefault="00367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1CD5D" w14:textId="77777777" w:rsidR="00684C9A" w:rsidRDefault="00684C9A">
      <w:r>
        <w:separator/>
      </w:r>
    </w:p>
  </w:footnote>
  <w:footnote w:type="continuationSeparator" w:id="0">
    <w:p w14:paraId="58D5277B" w14:textId="77777777" w:rsidR="00684C9A" w:rsidRDefault="00684C9A">
      <w:r>
        <w:continuationSeparator/>
      </w:r>
    </w:p>
  </w:footnote>
  <w:footnote w:type="continuationNotice" w:id="1">
    <w:p w14:paraId="5303AE71" w14:textId="77777777" w:rsidR="00684C9A" w:rsidRDefault="00684C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367CEB" w:rsidRDefault="00367CE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367CEB" w:rsidRDefault="00367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367CEB" w:rsidRDefault="00367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C6EFB"/>
    <w:pPr>
      <w:pBdr>
        <w:top w:val="none" w:sz="0" w:space="0" w:color="auto"/>
      </w:pBdr>
      <w:spacing w:before="180"/>
      <w:outlineLvl w:val="1"/>
    </w:pPr>
    <w:rPr>
      <w:sz w:val="32"/>
    </w:rPr>
  </w:style>
  <w:style w:type="paragraph" w:styleId="Heading3">
    <w:name w:val="heading 3"/>
    <w:basedOn w:val="Heading2"/>
    <w:next w:val="Normal"/>
    <w:link w:val="Heading3Char"/>
    <w:qFormat/>
    <w:rsid w:val="006C6EFB"/>
    <w:pPr>
      <w:spacing w:before="120"/>
      <w:outlineLvl w:val="2"/>
    </w:pPr>
    <w:rPr>
      <w:sz w:val="28"/>
    </w:rPr>
  </w:style>
  <w:style w:type="paragraph" w:styleId="Heading4">
    <w:name w:val="heading 4"/>
    <w:aliases w:val="h4"/>
    <w:basedOn w:val="Heading3"/>
    <w:next w:val="Normal"/>
    <w:link w:val="Heading4Char"/>
    <w:qFormat/>
    <w:rsid w:val="006C6EFB"/>
    <w:pPr>
      <w:ind w:left="1418" w:hanging="1418"/>
      <w:outlineLvl w:val="3"/>
    </w:pPr>
    <w:rPr>
      <w:sz w:val="24"/>
    </w:rPr>
  </w:style>
  <w:style w:type="paragraph" w:styleId="Heading5">
    <w:name w:val="heading 5"/>
    <w:basedOn w:val="Heading4"/>
    <w:next w:val="Normal"/>
    <w:link w:val="Heading5Char"/>
    <w:qFormat/>
    <w:rsid w:val="006C6EFB"/>
    <w:pPr>
      <w:ind w:left="1701" w:hanging="1701"/>
      <w:outlineLvl w:val="4"/>
    </w:pPr>
    <w:rPr>
      <w:sz w:val="22"/>
    </w:rPr>
  </w:style>
  <w:style w:type="paragraph" w:styleId="Heading6">
    <w:name w:val="heading 6"/>
    <w:basedOn w:val="H6"/>
    <w:next w:val="Normal"/>
    <w:qFormat/>
    <w:rsid w:val="006C6EFB"/>
    <w:pPr>
      <w:outlineLvl w:val="5"/>
    </w:pPr>
  </w:style>
  <w:style w:type="paragraph" w:styleId="Heading7">
    <w:name w:val="heading 7"/>
    <w:basedOn w:val="H6"/>
    <w:next w:val="Normal"/>
    <w:qFormat/>
    <w:rsid w:val="006C6EFB"/>
    <w:pPr>
      <w:outlineLvl w:val="6"/>
    </w:pPr>
  </w:style>
  <w:style w:type="paragraph" w:styleId="Heading8">
    <w:name w:val="heading 8"/>
    <w:basedOn w:val="Heading1"/>
    <w:next w:val="Normal"/>
    <w:qFormat/>
    <w:rsid w:val="006C6EFB"/>
    <w:pPr>
      <w:ind w:left="0" w:firstLine="0"/>
      <w:outlineLvl w:val="7"/>
    </w:pPr>
  </w:style>
  <w:style w:type="paragraph" w:styleId="Heading9">
    <w:name w:val="heading 9"/>
    <w:basedOn w:val="Heading8"/>
    <w:next w:val="Normal"/>
    <w:qFormat/>
    <w:rsid w:val="006C6E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C6EFB"/>
    <w:pPr>
      <w:spacing w:before="180"/>
      <w:ind w:left="2693" w:hanging="2693"/>
    </w:pPr>
    <w:rPr>
      <w:b/>
    </w:rPr>
  </w:style>
  <w:style w:type="paragraph" w:styleId="TOC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TOC5">
    <w:name w:val="toc 5"/>
    <w:basedOn w:val="TOC4"/>
    <w:semiHidden/>
    <w:rsid w:val="006C6EFB"/>
    <w:pPr>
      <w:ind w:left="1701" w:hanging="1701"/>
    </w:pPr>
  </w:style>
  <w:style w:type="paragraph" w:styleId="TOC4">
    <w:name w:val="toc 4"/>
    <w:basedOn w:val="TOC3"/>
    <w:semiHidden/>
    <w:rsid w:val="006C6EFB"/>
    <w:pPr>
      <w:ind w:left="1418" w:hanging="1418"/>
    </w:pPr>
  </w:style>
  <w:style w:type="paragraph" w:styleId="TOC3">
    <w:name w:val="toc 3"/>
    <w:basedOn w:val="TOC2"/>
    <w:semiHidden/>
    <w:rsid w:val="006C6EFB"/>
    <w:pPr>
      <w:ind w:left="1134" w:hanging="1134"/>
    </w:pPr>
  </w:style>
  <w:style w:type="paragraph" w:styleId="TOC2">
    <w:name w:val="toc 2"/>
    <w:basedOn w:val="TOC1"/>
    <w:semiHidden/>
    <w:rsid w:val="006C6EFB"/>
    <w:pPr>
      <w:keepNext w:val="0"/>
      <w:spacing w:before="0"/>
      <w:ind w:left="851" w:hanging="851"/>
    </w:pPr>
    <w:rPr>
      <w:sz w:val="20"/>
    </w:rPr>
  </w:style>
  <w:style w:type="paragraph" w:styleId="Index2">
    <w:name w:val="index 2"/>
    <w:basedOn w:val="Index1"/>
    <w:semiHidden/>
    <w:rsid w:val="006C6EFB"/>
    <w:pPr>
      <w:ind w:left="284"/>
    </w:pPr>
  </w:style>
  <w:style w:type="paragraph" w:styleId="Index1">
    <w:name w:val="index 1"/>
    <w:basedOn w:val="Normal"/>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C6EFB"/>
    <w:pPr>
      <w:outlineLvl w:val="9"/>
    </w:pPr>
  </w:style>
  <w:style w:type="paragraph" w:styleId="ListNumber2">
    <w:name w:val="List Number 2"/>
    <w:basedOn w:val="ListNumber"/>
    <w:rsid w:val="006C6EFB"/>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FootnoteReference">
    <w:name w:val="footnote reference"/>
    <w:basedOn w:val="DefaultParagraphFont"/>
    <w:semiHidden/>
    <w:rsid w:val="006C6EFB"/>
    <w:rPr>
      <w:b/>
      <w:position w:val="6"/>
      <w:sz w:val="16"/>
    </w:rPr>
  </w:style>
  <w:style w:type="paragraph" w:styleId="FootnoteText">
    <w:name w:val="footnote text"/>
    <w:basedOn w:val="Normal"/>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Normal"/>
    <w:rsid w:val="006C6EFB"/>
    <w:pPr>
      <w:keepLines/>
      <w:ind w:left="1135" w:hanging="851"/>
    </w:pPr>
  </w:style>
  <w:style w:type="paragraph" w:styleId="TOC9">
    <w:name w:val="toc 9"/>
    <w:basedOn w:val="TOC8"/>
    <w:semiHidden/>
    <w:rsid w:val="006C6EFB"/>
    <w:pPr>
      <w:ind w:left="1418" w:hanging="1418"/>
    </w:pPr>
  </w:style>
  <w:style w:type="paragraph" w:customStyle="1" w:styleId="EX">
    <w:name w:val="EX"/>
    <w:basedOn w:val="Normal"/>
    <w:rsid w:val="006C6EFB"/>
    <w:pPr>
      <w:keepLines/>
      <w:ind w:left="1702" w:hanging="1418"/>
    </w:pPr>
  </w:style>
  <w:style w:type="paragraph" w:customStyle="1" w:styleId="FP">
    <w:name w:val="FP"/>
    <w:basedOn w:val="Normal"/>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TOC6">
    <w:name w:val="toc 6"/>
    <w:basedOn w:val="TOC5"/>
    <w:next w:val="Normal"/>
    <w:semiHidden/>
    <w:rsid w:val="006C6EFB"/>
    <w:pPr>
      <w:ind w:left="1985" w:hanging="1985"/>
    </w:pPr>
  </w:style>
  <w:style w:type="paragraph" w:styleId="TOC7">
    <w:name w:val="toc 7"/>
    <w:basedOn w:val="TOC6"/>
    <w:next w:val="Normal"/>
    <w:semiHidden/>
    <w:rsid w:val="006C6EFB"/>
    <w:pPr>
      <w:ind w:left="2268" w:hanging="2268"/>
    </w:pPr>
  </w:style>
  <w:style w:type="paragraph" w:styleId="ListBullet2">
    <w:name w:val="List Bullet 2"/>
    <w:basedOn w:val="ListBullet"/>
    <w:rsid w:val="006C6EFB"/>
    <w:pPr>
      <w:ind w:left="851"/>
    </w:pPr>
  </w:style>
  <w:style w:type="paragraph" w:styleId="ListBullet3">
    <w:name w:val="List Bullet 3"/>
    <w:basedOn w:val="ListBullet2"/>
    <w:rsid w:val="006C6EFB"/>
    <w:pPr>
      <w:ind w:left="1135"/>
    </w:pPr>
  </w:style>
  <w:style w:type="paragraph" w:styleId="ListNumber">
    <w:name w:val="List Number"/>
    <w:basedOn w:val="List"/>
    <w:rsid w:val="006C6EFB"/>
  </w:style>
  <w:style w:type="paragraph" w:customStyle="1" w:styleId="EQ">
    <w:name w:val="EQ"/>
    <w:basedOn w:val="Normal"/>
    <w:next w:val="Normal"/>
    <w:rsid w:val="006C6EFB"/>
    <w:pPr>
      <w:keepLines/>
      <w:tabs>
        <w:tab w:val="center" w:pos="4536"/>
        <w:tab w:val="right" w:pos="9072"/>
      </w:tabs>
    </w:pPr>
    <w:rPr>
      <w:noProof/>
    </w:rPr>
  </w:style>
  <w:style w:type="paragraph" w:customStyle="1" w:styleId="TH">
    <w:name w:val="TH"/>
    <w:basedOn w:val="Normal"/>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Heading5"/>
    <w:next w:val="Normal"/>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Normal"/>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List2">
    <w:name w:val="List 2"/>
    <w:basedOn w:val="List"/>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List3">
    <w:name w:val="List 3"/>
    <w:basedOn w:val="List2"/>
    <w:rsid w:val="006C6EFB"/>
    <w:pPr>
      <w:ind w:left="1135"/>
    </w:pPr>
  </w:style>
  <w:style w:type="paragraph" w:styleId="List4">
    <w:name w:val="List 4"/>
    <w:basedOn w:val="List3"/>
    <w:rsid w:val="006C6EFB"/>
    <w:pPr>
      <w:ind w:left="1418"/>
    </w:pPr>
  </w:style>
  <w:style w:type="paragraph" w:styleId="List5">
    <w:name w:val="List 5"/>
    <w:basedOn w:val="List4"/>
    <w:rsid w:val="006C6EFB"/>
    <w:pPr>
      <w:ind w:left="1702"/>
    </w:pPr>
  </w:style>
  <w:style w:type="paragraph" w:customStyle="1" w:styleId="EditorsNote">
    <w:name w:val="Editor's Note"/>
    <w:basedOn w:val="NO"/>
    <w:rsid w:val="006C6EFB"/>
    <w:rPr>
      <w:color w:val="FF0000"/>
    </w:rPr>
  </w:style>
  <w:style w:type="paragraph" w:styleId="List">
    <w:name w:val="List"/>
    <w:basedOn w:val="Normal"/>
    <w:rsid w:val="006C6EFB"/>
    <w:pPr>
      <w:ind w:left="568" w:hanging="284"/>
    </w:pPr>
  </w:style>
  <w:style w:type="paragraph" w:styleId="ListBullet">
    <w:name w:val="List Bullet"/>
    <w:basedOn w:val="List"/>
    <w:rsid w:val="006C6EFB"/>
  </w:style>
  <w:style w:type="paragraph" w:styleId="ListBullet4">
    <w:name w:val="List Bullet 4"/>
    <w:basedOn w:val="ListBullet3"/>
    <w:rsid w:val="006C6EFB"/>
    <w:pPr>
      <w:ind w:left="1418"/>
    </w:pPr>
  </w:style>
  <w:style w:type="paragraph" w:styleId="ListBullet5">
    <w:name w:val="List Bullet 5"/>
    <w:basedOn w:val="ListBullet4"/>
    <w:rsid w:val="006C6EFB"/>
    <w:pPr>
      <w:ind w:left="1702"/>
    </w:pPr>
  </w:style>
  <w:style w:type="paragraph" w:customStyle="1" w:styleId="B1">
    <w:name w:val="B1"/>
    <w:basedOn w:val="List"/>
    <w:link w:val="B1Char1"/>
    <w:rsid w:val="006C6EFB"/>
  </w:style>
  <w:style w:type="paragraph" w:customStyle="1" w:styleId="B2">
    <w:name w:val="B2"/>
    <w:basedOn w:val="List2"/>
    <w:rsid w:val="006C6EFB"/>
  </w:style>
  <w:style w:type="paragraph" w:customStyle="1" w:styleId="B3">
    <w:name w:val="B3"/>
    <w:basedOn w:val="List3"/>
    <w:rsid w:val="006C6EFB"/>
  </w:style>
  <w:style w:type="paragraph" w:customStyle="1" w:styleId="B4">
    <w:name w:val="B4"/>
    <w:basedOn w:val="List4"/>
    <w:rsid w:val="006C6EFB"/>
  </w:style>
  <w:style w:type="paragraph" w:customStyle="1" w:styleId="B5">
    <w:name w:val="B5"/>
    <w:basedOn w:val="List5"/>
    <w:rsid w:val="006C6EFB"/>
  </w:style>
  <w:style w:type="paragraph" w:styleId="Footer">
    <w:name w:val="footer"/>
    <w:basedOn w:val="Header"/>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eastAsia="Times New Roman" w:hAnsi="Arial"/>
      <w:sz w:val="36"/>
      <w:lang w:val="en-GB" w:eastAsia="en-IN"/>
    </w:rPr>
  </w:style>
  <w:style w:type="character" w:customStyle="1" w:styleId="Heading2Char">
    <w:name w:val="Heading 2 Char"/>
    <w:link w:val="Heading2"/>
    <w:qFormat/>
    <w:rsid w:val="00184F51"/>
    <w:rPr>
      <w:rFonts w:ascii="Arial" w:eastAsia="Times New Roman" w:hAnsi="Arial"/>
      <w:sz w:val="32"/>
      <w:lang w:val="en-GB" w:eastAsia="en-IN"/>
    </w:rPr>
  </w:style>
  <w:style w:type="character" w:customStyle="1" w:styleId="Heading3Char">
    <w:name w:val="Heading 3 Char"/>
    <w:link w:val="Heading3"/>
    <w:qFormat/>
    <w:rsid w:val="00184F51"/>
    <w:rPr>
      <w:rFonts w:ascii="Arial" w:eastAsia="Times New Roman" w:hAnsi="Arial"/>
      <w:sz w:val="28"/>
      <w:lang w:val="en-GB" w:eastAsia="en-IN"/>
    </w:rPr>
  </w:style>
  <w:style w:type="character" w:customStyle="1" w:styleId="Heading4Char">
    <w:name w:val="Heading 4 Char"/>
    <w:aliases w:val="h4 Char"/>
    <w:link w:val="Heading4"/>
    <w:qFormat/>
    <w:rsid w:val="00184F51"/>
    <w:rPr>
      <w:rFonts w:ascii="Arial" w:eastAsia="Times New Roman" w:hAnsi="Arial"/>
      <w:sz w:val="24"/>
      <w:lang w:val="en-GB" w:eastAsia="en-IN"/>
    </w:rPr>
  </w:style>
  <w:style w:type="character" w:customStyle="1" w:styleId="Heading5Char">
    <w:name w:val="Heading 5 Char"/>
    <w:link w:val="Heading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eastAsia="Times New Roman" w:hAnsi="Arial"/>
      <w:b/>
      <w:noProof/>
      <w:sz w:val="18"/>
      <w:lang w:val="en-IN" w:eastAsia="en-IN"/>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A7370D83-2503-4804-9E0C-709ED4C92430}">
  <ds:schemaRefs>
    <ds:schemaRef ds:uri="http://schemas.openxmlformats.org/officeDocument/2006/bibliography"/>
  </ds:schemaRefs>
</ds:datastoreItem>
</file>

<file path=customXml/itemProps4.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54</Pages>
  <Words>9918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Fumihiro Hasegawa</cp:lastModifiedBy>
  <cp:revision>6</cp:revision>
  <cp:lastPrinted>2014-11-07T05:38:00Z</cp:lastPrinted>
  <dcterms:created xsi:type="dcterms:W3CDTF">2020-08-27T12:16:00Z</dcterms:created>
  <dcterms:modified xsi:type="dcterms:W3CDTF">2020-08-27T13:16:00Z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