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simulations, but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Heading1"/>
        <w:spacing w:after="180"/>
      </w:pPr>
      <w:r>
        <w:lastRenderedPageBreak/>
        <w:t>Open issues</w:t>
      </w:r>
    </w:p>
    <w:p w14:paraId="31C8166F" w14:textId="77777777" w:rsidR="00A178B4" w:rsidRPr="00E930A9" w:rsidRDefault="00AB5F75">
      <w:pPr>
        <w:pStyle w:val="Heading2"/>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Heading2"/>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w:t>
            </w:r>
            <w:r w:rsidR="00842CD4">
              <w:rPr>
                <w:szCs w:val="24"/>
              </w:rPr>
              <w:lastRenderedPageBreak/>
              <w:t xml:space="preserve">format would be used for proper operation.   </w:t>
            </w:r>
            <w:r>
              <w:rPr>
                <w:szCs w:val="24"/>
              </w:rPr>
              <w:t xml:space="preserve"> </w:t>
            </w:r>
          </w:p>
        </w:tc>
      </w:tr>
    </w:tbl>
    <w:p w14:paraId="298E088C" w14:textId="77777777" w:rsidR="00A178B4" w:rsidRDefault="00AB5F75">
      <w:pPr>
        <w:rPr>
          <w:rFonts w:ascii="Times" w:eastAsiaTheme="minorEastAsia" w:hAnsi="Times"/>
          <w:sz w:val="22"/>
          <w:szCs w:val="22"/>
          <w:lang w:val="en-US"/>
        </w:rPr>
      </w:pPr>
      <w:r>
        <w:rPr>
          <w:lang w:eastAsia="zh-CN"/>
        </w:rPr>
        <w:lastRenderedPageBreak/>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bl>
    <w:p w14:paraId="52E09099" w14:textId="77777777" w:rsidR="00A178B4" w:rsidRDefault="00A178B4">
      <w:pPr>
        <w:rPr>
          <w:lang w:eastAsia="zh-CN"/>
        </w:rPr>
      </w:pPr>
    </w:p>
    <w:p w14:paraId="0C18116E"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lastRenderedPageBreak/>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Heading2"/>
        <w:rPr>
          <w:color w:val="auto"/>
          <w:lang w:val="en-US"/>
        </w:rPr>
      </w:pPr>
      <w:r w:rsidRPr="00E930A9">
        <w:rPr>
          <w:color w:val="008000"/>
          <w:lang w:val="en-US"/>
        </w:rPr>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bl>
    <w:p w14:paraId="74086CA9" w14:textId="77777777" w:rsidR="00A178B4" w:rsidRDefault="00A178B4">
      <w:pPr>
        <w:rPr>
          <w:lang w:val="en-US"/>
        </w:rPr>
      </w:pPr>
    </w:p>
    <w:p w14:paraId="023D82CA" w14:textId="77777777" w:rsidR="00A178B4" w:rsidRPr="00E930A9" w:rsidRDefault="00AB5F75">
      <w:pPr>
        <w:pStyle w:val="Heading2"/>
        <w:rPr>
          <w:color w:val="auto"/>
          <w:lang w:val="en-US"/>
        </w:rPr>
      </w:pPr>
      <w:r w:rsidRPr="00E930A9">
        <w:rPr>
          <w:color w:val="008000"/>
          <w:lang w:val="en-US"/>
        </w:rPr>
        <w:lastRenderedPageBreak/>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bl>
    <w:p w14:paraId="133F5C25" w14:textId="77777777" w:rsidR="00A178B4" w:rsidRDefault="00A178B4"/>
    <w:p w14:paraId="00BEA54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lastRenderedPageBreak/>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bl>
    <w:p w14:paraId="40136520" w14:textId="77777777" w:rsidR="00A178B4" w:rsidRDefault="00A178B4"/>
    <w:p w14:paraId="431B442F" w14:textId="77777777" w:rsidR="00A178B4" w:rsidRPr="00E930A9" w:rsidRDefault="00AB5F75">
      <w:pPr>
        <w:pStyle w:val="Heading2"/>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bl>
    <w:p w14:paraId="1E1B9927" w14:textId="77777777" w:rsidR="00A178B4" w:rsidRDefault="00A178B4"/>
    <w:p w14:paraId="23CF3A45" w14:textId="77777777" w:rsidR="00A178B4" w:rsidRPr="00E930A9" w:rsidRDefault="00AB5F75">
      <w:pPr>
        <w:pStyle w:val="Heading2"/>
        <w:rPr>
          <w:lang w:val="en-US"/>
        </w:rPr>
      </w:pPr>
      <w:r w:rsidRPr="00E930A9">
        <w:rPr>
          <w:color w:val="008000"/>
          <w:lang w:val="en-US"/>
        </w:rPr>
        <w:lastRenderedPageBreak/>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bl>
    <w:p w14:paraId="436182DA" w14:textId="77777777" w:rsidR="00A178B4" w:rsidRDefault="00A178B4"/>
    <w:p w14:paraId="0EE5C9A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lastRenderedPageBreak/>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lastRenderedPageBreak/>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bl>
    <w:p w14:paraId="38436F07" w14:textId="77777777" w:rsidR="00A178B4" w:rsidRDefault="00A178B4"/>
    <w:p w14:paraId="0E072AD9" w14:textId="77777777" w:rsidR="00A178B4" w:rsidRDefault="00AB5F75">
      <w:pPr>
        <w:pStyle w:val="Heading1"/>
        <w:spacing w:after="180"/>
      </w:pPr>
      <w:r>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lastRenderedPageBreak/>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bl>
    <w:p w14:paraId="7F453125" w14:textId="77777777" w:rsidR="00A178B4" w:rsidRDefault="00A178B4"/>
    <w:p w14:paraId="1C7B4A1C" w14:textId="77777777" w:rsidR="00A178B4" w:rsidRDefault="00AB5F75">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A178B4" w14:paraId="7F67D574" w14:textId="77777777" w:rsidTr="00A178B4">
        <w:tc>
          <w:tcPr>
            <w:tcW w:w="2376" w:type="dxa"/>
          </w:tcPr>
          <w:p w14:paraId="4C8B63BF" w14:textId="77777777" w:rsidR="00A178B4" w:rsidRDefault="00A178B4"/>
        </w:tc>
        <w:tc>
          <w:tcPr>
            <w:tcW w:w="7786" w:type="dxa"/>
          </w:tcPr>
          <w:p w14:paraId="1A7E6EA8" w14:textId="77777777" w:rsidR="00A178B4" w:rsidRDefault="00A178B4"/>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Heading2"/>
      </w:pPr>
      <w:r>
        <w:rPr>
          <w:color w:val="008000"/>
        </w:rPr>
        <w:lastRenderedPageBreak/>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6.5pt" o:ole="">
                  <v:imagedata r:id="rId14" o:title=""/>
                </v:shape>
                <o:OLEObject Type="Embed" ProgID="Equation.3" ShapeID="_x0000_i1025" DrawAspect="Content" ObjectID="_1659307201"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5pt;height:16.5pt" o:ole="">
                  <v:imagedata r:id="rId14" o:title=""/>
                </v:shape>
                <o:OLEObject Type="Embed" ProgID="Equation.3" ShapeID="_x0000_i1026" DrawAspect="Content" ObjectID="_1659307202"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A178B4" w14:paraId="3ADCEC1F" w14:textId="77777777" w:rsidTr="00A178B4">
        <w:tc>
          <w:tcPr>
            <w:tcW w:w="2376" w:type="dxa"/>
            <w:gridSpan w:val="2"/>
          </w:tcPr>
          <w:p w14:paraId="31536F0B" w14:textId="77777777" w:rsidR="00A178B4" w:rsidRDefault="00A178B4"/>
        </w:tc>
        <w:tc>
          <w:tcPr>
            <w:tcW w:w="7786" w:type="dxa"/>
            <w:gridSpan w:val="2"/>
          </w:tcPr>
          <w:p w14:paraId="68D7D395" w14:textId="77777777" w:rsidR="00A178B4" w:rsidRDefault="00A178B4"/>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Heading2"/>
        <w:rPr>
          <w:color w:val="000000" w:themeColor="text1"/>
          <w:lang w:val="en-US"/>
        </w:rPr>
      </w:pPr>
      <w:r w:rsidRPr="00E930A9">
        <w:rPr>
          <w:color w:val="008000"/>
          <w:lang w:val="en-US"/>
        </w:rPr>
        <w:lastRenderedPageBreak/>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w:t>
            </w:r>
            <w:r>
              <w:rPr>
                <w:rFonts w:eastAsia="SimSun" w:hint="eastAsia"/>
                <w:lang w:val="en-US" w:eastAsia="zh-CN"/>
              </w:rPr>
              <w:lastRenderedPageBreak/>
              <w:t xml:space="preserve">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lastRenderedPageBreak/>
              <w:t>Intel</w:t>
            </w:r>
          </w:p>
        </w:tc>
        <w:tc>
          <w:tcPr>
            <w:tcW w:w="7786" w:type="dxa"/>
          </w:tcPr>
          <w:p w14:paraId="0DCDC660" w14:textId="543B4E9E" w:rsidR="00A178B4" w:rsidRDefault="0076759A">
            <w:r w:rsidRPr="0076759A">
              <w:t>We are fine with FL’s proposal.</w:t>
            </w:r>
          </w:p>
        </w:tc>
      </w:tr>
    </w:tbl>
    <w:p w14:paraId="7310D817" w14:textId="77777777" w:rsidR="00A178B4" w:rsidRDefault="00A178B4"/>
    <w:p w14:paraId="683EEBE8" w14:textId="77777777" w:rsidR="00A178B4" w:rsidRDefault="00AB5F75">
      <w:pPr>
        <w:pStyle w:val="Heading2"/>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lastRenderedPageBreak/>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A178B4" w14:paraId="69DC2476" w14:textId="77777777" w:rsidTr="00A178B4">
        <w:tc>
          <w:tcPr>
            <w:tcW w:w="2376" w:type="dxa"/>
          </w:tcPr>
          <w:p w14:paraId="57643D6C" w14:textId="77777777" w:rsidR="00A178B4" w:rsidRDefault="00A178B4"/>
        </w:tc>
        <w:tc>
          <w:tcPr>
            <w:tcW w:w="7786" w:type="dxa"/>
          </w:tcPr>
          <w:p w14:paraId="3B954DF3" w14:textId="77777777" w:rsidR="00A178B4" w:rsidRDefault="00A178B4"/>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Heading1"/>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Heading1"/>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Heading1"/>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Heading1"/>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3" w:name="_Ref48582553"/>
      <w:r>
        <w:rPr>
          <w:lang w:eastAsia="zh-CN"/>
        </w:rPr>
        <w:t>R1-2005257, Evaluation on the baseline performance for FR2, Huawei/HiSilicon</w:t>
      </w:r>
      <w:bookmarkEnd w:id="3"/>
    </w:p>
    <w:p w14:paraId="15D9D0C5" w14:textId="77777777" w:rsidR="00A178B4" w:rsidRDefault="00AB5F75">
      <w:pPr>
        <w:pStyle w:val="ListParagraph"/>
        <w:numPr>
          <w:ilvl w:val="0"/>
          <w:numId w:val="23"/>
        </w:numPr>
        <w:ind w:leftChars="0"/>
        <w:rPr>
          <w:lang w:eastAsia="zh-CN"/>
        </w:rPr>
      </w:pPr>
      <w:bookmarkStart w:id="4" w:name="_Ref48600615"/>
      <w:r>
        <w:rPr>
          <w:lang w:eastAsia="zh-CN"/>
        </w:rPr>
        <w:t>R1-2005298, Baseline coverage evaluation of UL and DL channels – FR2, Nokia, Nokia Shanghai Bell</w:t>
      </w:r>
      <w:bookmarkEnd w:id="4"/>
    </w:p>
    <w:p w14:paraId="602AD734" w14:textId="77777777" w:rsidR="00A178B4" w:rsidRDefault="00AB5F75">
      <w:pPr>
        <w:pStyle w:val="ListParagraph"/>
        <w:numPr>
          <w:ilvl w:val="0"/>
          <w:numId w:val="23"/>
        </w:numPr>
        <w:ind w:leftChars="0"/>
        <w:rPr>
          <w:lang w:eastAsia="zh-CN"/>
        </w:rPr>
      </w:pPr>
      <w:bookmarkStart w:id="5" w:name="_Ref48582627"/>
      <w:r>
        <w:rPr>
          <w:lang w:eastAsia="zh-CN"/>
        </w:rPr>
        <w:t>R1-2005394, Evaluation on NR coverage performance for FR2, vivo</w:t>
      </w:r>
      <w:bookmarkEnd w:id="5"/>
    </w:p>
    <w:p w14:paraId="668EC439" w14:textId="77777777" w:rsidR="00A178B4" w:rsidRDefault="00AB5F75">
      <w:pPr>
        <w:pStyle w:val="ListParagraph"/>
        <w:numPr>
          <w:ilvl w:val="0"/>
          <w:numId w:val="23"/>
        </w:numPr>
        <w:ind w:leftChars="0"/>
        <w:rPr>
          <w:lang w:eastAsia="zh-CN"/>
        </w:rPr>
      </w:pPr>
      <w:bookmarkStart w:id="6" w:name="_Ref48582576"/>
      <w:r>
        <w:rPr>
          <w:lang w:eastAsia="zh-CN"/>
        </w:rPr>
        <w:t>R1-2005426, Discussion on baseline coverage performance for FR2, ZTE</w:t>
      </w:r>
      <w:bookmarkEnd w:id="6"/>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7" w:name="_Ref48582699"/>
      <w:r>
        <w:rPr>
          <w:lang w:eastAsia="zh-CN"/>
        </w:rPr>
        <w:t>R1-2005723, Baseline coverage performance for FR2, CATT</w:t>
      </w:r>
      <w:bookmarkEnd w:id="7"/>
    </w:p>
    <w:p w14:paraId="6DC4DE6A" w14:textId="77777777" w:rsidR="00A178B4" w:rsidRDefault="00AB5F75">
      <w:pPr>
        <w:pStyle w:val="ListParagraph"/>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8" w:name="_Ref48600235"/>
      <w:r>
        <w:rPr>
          <w:lang w:eastAsia="zh-CN"/>
        </w:rPr>
        <w:t>R1-2006046, Evaluation on NR coverage performance for FR2,</w:t>
      </w:r>
      <w:r>
        <w:rPr>
          <w:lang w:eastAsia="zh-CN"/>
        </w:rPr>
        <w:tab/>
        <w:t>OPPO</w:t>
      </w:r>
      <w:bookmarkEnd w:id="8"/>
    </w:p>
    <w:p w14:paraId="68627796" w14:textId="77777777" w:rsidR="00A178B4" w:rsidRDefault="00AB5F75">
      <w:pPr>
        <w:pStyle w:val="ListParagraph"/>
        <w:numPr>
          <w:ilvl w:val="0"/>
          <w:numId w:val="23"/>
        </w:numPr>
        <w:ind w:leftChars="0"/>
        <w:rPr>
          <w:lang w:eastAsia="zh-CN"/>
        </w:rPr>
      </w:pPr>
      <w:bookmarkStart w:id="9" w:name="_Ref48586193"/>
      <w:r>
        <w:rPr>
          <w:lang w:eastAsia="zh-CN"/>
        </w:rPr>
        <w:t>R1-2006161, Baseline coverage performance using LLS for FR2, Samsung</w:t>
      </w:r>
      <w:bookmarkEnd w:id="9"/>
    </w:p>
    <w:p w14:paraId="24929AA6" w14:textId="77777777" w:rsidR="00A178B4" w:rsidRDefault="00AB5F75">
      <w:pPr>
        <w:pStyle w:val="ListParagraph"/>
        <w:numPr>
          <w:ilvl w:val="0"/>
          <w:numId w:val="23"/>
        </w:numPr>
        <w:ind w:leftChars="0"/>
        <w:rPr>
          <w:lang w:eastAsia="zh-CN"/>
        </w:rPr>
      </w:pPr>
      <w:bookmarkStart w:id="10" w:name="_Ref48586208"/>
      <w:r>
        <w:rPr>
          <w:lang w:eastAsia="zh-CN"/>
        </w:rPr>
        <w:t>R1-2006225, Discussion on the baseline performance in FR2, CMCC</w:t>
      </w:r>
      <w:bookmarkEnd w:id="10"/>
    </w:p>
    <w:p w14:paraId="27438E06" w14:textId="77777777" w:rsidR="00A178B4" w:rsidRDefault="00AB5F75">
      <w:pPr>
        <w:pStyle w:val="ListParagraph"/>
        <w:numPr>
          <w:ilvl w:val="0"/>
          <w:numId w:val="23"/>
        </w:numPr>
        <w:ind w:leftChars="0"/>
        <w:rPr>
          <w:lang w:eastAsia="zh-CN"/>
        </w:rPr>
      </w:pPr>
      <w:bookmarkStart w:id="11" w:name="_Ref48600375"/>
      <w:r>
        <w:rPr>
          <w:lang w:eastAsia="zh-CN"/>
        </w:rPr>
        <w:t>R1-2006244, FR2 baseline coverage performance using LLS, InterDigital, Inc.</w:t>
      </w:r>
      <w:bookmarkEnd w:id="11"/>
    </w:p>
    <w:p w14:paraId="65AC4D1A" w14:textId="77777777" w:rsidR="00A178B4" w:rsidRDefault="00AB5F75">
      <w:pPr>
        <w:pStyle w:val="ListParagraph"/>
        <w:numPr>
          <w:ilvl w:val="0"/>
          <w:numId w:val="23"/>
        </w:numPr>
        <w:ind w:leftChars="0"/>
        <w:rPr>
          <w:lang w:eastAsia="zh-CN"/>
        </w:rPr>
      </w:pPr>
      <w:bookmarkStart w:id="12" w:name="_Ref48586175"/>
      <w:r>
        <w:rPr>
          <w:lang w:eastAsia="zh-CN"/>
        </w:rPr>
        <w:t>R1-2006612, Link and System Evaluation of Coverage for FR2, Ericsson</w:t>
      </w:r>
      <w:bookmarkEnd w:id="12"/>
    </w:p>
    <w:p w14:paraId="1E16BEE1" w14:textId="77777777" w:rsidR="00A178B4" w:rsidRDefault="00AB5F75">
      <w:pPr>
        <w:pStyle w:val="ListParagraph"/>
        <w:numPr>
          <w:ilvl w:val="0"/>
          <w:numId w:val="23"/>
        </w:numPr>
        <w:ind w:leftChars="0"/>
        <w:rPr>
          <w:lang w:eastAsia="zh-CN"/>
        </w:rPr>
      </w:pPr>
      <w:bookmarkStart w:id="13" w:name="_Ref48582598"/>
      <w:r>
        <w:rPr>
          <w:lang w:eastAsia="zh-CN"/>
        </w:rPr>
        <w:t>R1-2006740, Baseline coverage performance for FR2, NTT DOCOMO, INC.</w:t>
      </w:r>
      <w:bookmarkEnd w:id="13"/>
    </w:p>
    <w:p w14:paraId="69A58ECF" w14:textId="77777777" w:rsidR="00A178B4" w:rsidRDefault="00AB5F75">
      <w:pPr>
        <w:pStyle w:val="ListParagraph"/>
        <w:numPr>
          <w:ilvl w:val="0"/>
          <w:numId w:val="23"/>
        </w:numPr>
        <w:ind w:leftChars="0"/>
        <w:rPr>
          <w:lang w:eastAsia="zh-CN"/>
        </w:rPr>
      </w:pPr>
      <w:bookmarkStart w:id="14" w:name="_Ref48586187"/>
      <w:r>
        <w:rPr>
          <w:lang w:eastAsia="zh-CN"/>
        </w:rPr>
        <w:t>R1-2006819, Baseline FR2 coverage performance, Qualcomm Incorporated</w:t>
      </w:r>
      <w:bookmarkEnd w:id="14"/>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ListParagraph"/>
        <w:numPr>
          <w:ilvl w:val="0"/>
          <w:numId w:val="23"/>
        </w:numPr>
        <w:ind w:leftChars="0"/>
        <w:rPr>
          <w:lang w:eastAsia="zh-CN"/>
        </w:rPr>
      </w:pPr>
      <w:r>
        <w:rPr>
          <w:lang w:eastAsia="zh-CN"/>
        </w:rPr>
        <w:lastRenderedPageBreak/>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15" w:name="_Ref48599880"/>
      <w:r>
        <w:rPr>
          <w:lang w:eastAsia="zh-CN"/>
        </w:rPr>
        <w:t>R1-2005398, Considerations on Evaluation Assumptions for Coverage Enhancements, vivo</w:t>
      </w:r>
      <w:bookmarkEnd w:id="15"/>
    </w:p>
    <w:p w14:paraId="157F2C5B" w14:textId="77777777" w:rsidR="00A178B4" w:rsidRDefault="00AB5F75">
      <w:pPr>
        <w:pStyle w:val="ListParagraph"/>
        <w:numPr>
          <w:ilvl w:val="0"/>
          <w:numId w:val="23"/>
        </w:numPr>
        <w:ind w:leftChars="0"/>
        <w:rPr>
          <w:lang w:eastAsia="zh-CN"/>
        </w:rPr>
      </w:pPr>
      <w:bookmarkStart w:id="16" w:name="_Ref48582499"/>
      <w:r>
        <w:rPr>
          <w:lang w:eastAsia="zh-CN"/>
        </w:rPr>
        <w:t>R1-2005430, Discussion on evaluation methodology for NR coverage, ZTE</w:t>
      </w:r>
      <w:bookmarkEnd w:id="16"/>
    </w:p>
    <w:p w14:paraId="4AD564F7" w14:textId="77777777" w:rsidR="00A178B4" w:rsidRDefault="00AB5F75">
      <w:pPr>
        <w:pStyle w:val="ListParagraph"/>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ListParagraph"/>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ListParagraph"/>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lastRenderedPageBreak/>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7"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lastRenderedPageBreak/>
        <w:t>Followed by medium priority/low priority proposals</w:t>
      </w:r>
    </w:p>
    <w:bookmarkEnd w:id="17"/>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lastRenderedPageBreak/>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18"/>
            <w:r>
              <w:rPr>
                <w:rFonts w:ascii="Arial" w:hAnsi="Arial" w:cs="Arial"/>
              </w:rPr>
              <w:t>FFS: BLER for CSI (10% or 1%)</w:t>
            </w:r>
            <w:commentRangeEnd w:id="18"/>
            <w:r>
              <w:rPr>
                <w:rStyle w:val="CommentReference"/>
                <w:lang w:eastAsia="zh-CN"/>
              </w:rPr>
              <w:commentReference w:id="18"/>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lastRenderedPageBreak/>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lastRenderedPageBreak/>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19"/>
      <w:r>
        <w:rPr>
          <w:rFonts w:ascii="Arial" w:hAnsi="Arial" w:cs="Arial"/>
          <w:color w:val="FF0000"/>
        </w:rPr>
        <w:t>Suburban: FFS: (DL: 1Mbps, UL: 50kbps)</w:t>
      </w:r>
      <w:commentRangeEnd w:id="19"/>
      <w:r>
        <w:rPr>
          <w:rStyle w:val="CommentReference"/>
          <w:lang w:eastAsia="zh-CN"/>
        </w:rPr>
        <w:commentReference w:id="19"/>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BodyText"/>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w/o HARQ, 10% iBLER.</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0"/>
            <w:r>
              <w:rPr>
                <w:color w:val="FF0000"/>
                <w:sz w:val="21"/>
                <w:szCs w:val="21"/>
                <w:lang w:eastAsia="ko-KR"/>
              </w:rPr>
              <w:t>FFS:</w:t>
            </w:r>
            <w:r>
              <w:rPr>
                <w:sz w:val="21"/>
                <w:szCs w:val="21"/>
                <w:lang w:eastAsia="ko-KR"/>
              </w:rPr>
              <w:t xml:space="preserve"> CP-OFDM for PUSCH</w:t>
            </w:r>
            <w:commentRangeEnd w:id="20"/>
            <w:r>
              <w:rPr>
                <w:rStyle w:val="CommentReference"/>
                <w:lang w:eastAsia="zh-CN"/>
              </w:rPr>
              <w:commentReference w:id="20"/>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1"/>
            <w:r>
              <w:rPr>
                <w:sz w:val="21"/>
                <w:szCs w:val="21"/>
                <w:lang w:eastAsia="ko-KR"/>
              </w:rPr>
              <w:t xml:space="preserve">FFS: Repetition type B </w:t>
            </w:r>
            <w:r>
              <w:rPr>
                <w:color w:val="FF0000"/>
                <w:sz w:val="21"/>
                <w:szCs w:val="21"/>
                <w:lang w:eastAsia="ko-KR"/>
              </w:rPr>
              <w:t>for PUSCH.</w:t>
            </w:r>
            <w:commentRangeEnd w:id="21"/>
            <w:r>
              <w:rPr>
                <w:rStyle w:val="CommentReference"/>
                <w:lang w:eastAsia="zh-CN"/>
              </w:rPr>
              <w:commentReference w:id="21"/>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2"/>
            <w:r>
              <w:rPr>
                <w:color w:val="FF0000"/>
                <w:sz w:val="21"/>
                <w:szCs w:val="21"/>
                <w:lang w:eastAsia="ko-KR"/>
              </w:rPr>
              <w:t xml:space="preserve">FFS: Two panels in link budget, one panel in LLS, 16 for </w:t>
            </w:r>
            <w:r>
              <w:rPr>
                <w:sz w:val="21"/>
                <w:szCs w:val="21"/>
                <w:lang w:eastAsia="ko-KR"/>
              </w:rPr>
              <w:t>each panel: (M, N, P) = (4,2,2)</w:t>
            </w:r>
            <w:commentRangeEnd w:id="22"/>
            <w:r>
              <w:rPr>
                <w:rStyle w:val="CommentReference"/>
                <w:lang w:eastAsia="zh-CN"/>
              </w:rPr>
              <w:commentReference w:id="22"/>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Format 3, [4bits (3 bits A/N + 1 bit SR)]/11/22 bits UCI</w:t>
            </w:r>
          </w:p>
          <w:p w14:paraId="37CEE916" w14:textId="77777777" w:rsidR="00A178B4" w:rsidRDefault="00AB5F75">
            <w:pPr>
              <w:pStyle w:val="BodyText"/>
              <w:spacing w:line="252" w:lineRule="auto"/>
              <w:rPr>
                <w:lang w:val="fr-FR" w:eastAsia="ko-KR"/>
              </w:rPr>
            </w:pPr>
            <w:commentRangeStart w:id="23"/>
            <w:r>
              <w:rPr>
                <w:color w:val="FF0000"/>
                <w:lang w:val="en-GB" w:eastAsia="ko-KR"/>
              </w:rPr>
              <w:t>FFS: Format 0, 2</w:t>
            </w:r>
            <w:commentRangeEnd w:id="23"/>
            <w:r>
              <w:rPr>
                <w:rStyle w:val="CommentReference"/>
                <w:rFonts w:eastAsia="MS Gothic"/>
                <w:lang w:val="en-GB" w:eastAsia="zh-CN"/>
              </w:rPr>
              <w:commentReference w:id="23"/>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4"/>
            <w:r>
              <w:rPr>
                <w:color w:val="FF0000"/>
                <w:sz w:val="21"/>
                <w:szCs w:val="21"/>
                <w:lang w:eastAsia="ko-KR"/>
              </w:rPr>
              <w:t>FFS: 4 OFDM symbols</w:t>
            </w:r>
            <w:commentRangeEnd w:id="24"/>
            <w:r>
              <w:rPr>
                <w:rStyle w:val="CommentReference"/>
                <w:lang w:eastAsia="zh-CN"/>
              </w:rPr>
              <w:commentReference w:id="24"/>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5"/>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5"/>
            <w:r>
              <w:rPr>
                <w:rStyle w:val="CommentReference"/>
                <w:lang w:eastAsia="zh-CN"/>
              </w:rPr>
              <w:commentReference w:id="25"/>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6"/>
            <w:r>
              <w:rPr>
                <w:color w:val="FF0000"/>
                <w:sz w:val="21"/>
                <w:szCs w:val="21"/>
                <w:lang w:eastAsia="ko-KR"/>
              </w:rPr>
              <w:t>FFS: 10% BLER</w:t>
            </w:r>
            <w:commentRangeEnd w:id="26"/>
            <w:r>
              <w:rPr>
                <w:rStyle w:val="CommentReference"/>
                <w:lang w:eastAsia="zh-CN"/>
              </w:rPr>
              <w:commentReference w:id="26"/>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7"/>
            <w:r>
              <w:rPr>
                <w:color w:val="FF0000"/>
                <w:sz w:val="21"/>
                <w:szCs w:val="21"/>
                <w:lang w:eastAsia="ko-KR"/>
              </w:rPr>
              <w:t>FFS: 10% missed detection.</w:t>
            </w:r>
            <w:commentRangeEnd w:id="27"/>
            <w:r>
              <w:rPr>
                <w:rStyle w:val="CommentReference"/>
                <w:lang w:eastAsia="zh-CN"/>
              </w:rPr>
              <w:commentReference w:id="27"/>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uthor" w:date="1900-01-01T00:00:00Z" w:initials="A">
    <w:p w14:paraId="2BCA67C4" w14:textId="77777777" w:rsidR="00BC3267" w:rsidRDefault="00BC3267">
      <w:pPr>
        <w:pStyle w:val="CommentText"/>
      </w:pPr>
      <w:r>
        <w:t>Open issue No. 10</w:t>
      </w:r>
    </w:p>
  </w:comment>
  <w:comment w:id="19" w:author="Author" w:date="1900-01-01T00:00:00Z" w:initials="A">
    <w:p w14:paraId="0B1D6BEB" w14:textId="77777777" w:rsidR="00BC3267" w:rsidRDefault="00BC3267">
      <w:pPr>
        <w:pStyle w:val="CommentText"/>
      </w:pPr>
      <w:r>
        <w:t>Open issue No. 6</w:t>
      </w:r>
    </w:p>
  </w:comment>
  <w:comment w:id="20" w:author="Author" w:date="1900-01-01T00:00:00Z" w:initials="A">
    <w:p w14:paraId="04954235" w14:textId="77777777" w:rsidR="00BC3267" w:rsidRDefault="00BC3267">
      <w:pPr>
        <w:pStyle w:val="CommentText"/>
      </w:pPr>
      <w:r>
        <w:t>Open issue No. 8</w:t>
      </w:r>
    </w:p>
  </w:comment>
  <w:comment w:id="21" w:author="Author" w:date="1900-01-01T00:00:00Z" w:initials="A">
    <w:p w14:paraId="6E23556E" w14:textId="77777777" w:rsidR="00BC3267" w:rsidRDefault="00BC3267">
      <w:pPr>
        <w:pStyle w:val="CommentText"/>
      </w:pPr>
      <w:r>
        <w:t>Open issue No. 7</w:t>
      </w:r>
    </w:p>
  </w:comment>
  <w:comment w:id="22" w:author="Author" w:date="1900-01-01T00:00:00Z" w:initials="A">
    <w:p w14:paraId="378F48B8" w14:textId="77777777" w:rsidR="00BC3267" w:rsidRDefault="00BC3267">
      <w:pPr>
        <w:pStyle w:val="CommentText"/>
      </w:pPr>
      <w:r>
        <w:t>Open issue No. 5</w:t>
      </w:r>
    </w:p>
  </w:comment>
  <w:comment w:id="23" w:author="Author" w:date="1900-01-01T00:00:00Z" w:initials="A">
    <w:p w14:paraId="2BE16938" w14:textId="77777777" w:rsidR="00BC3267" w:rsidRDefault="00BC3267">
      <w:pPr>
        <w:pStyle w:val="CommentText"/>
      </w:pPr>
      <w:r>
        <w:t>Open Issue No. 2</w:t>
      </w:r>
    </w:p>
  </w:comment>
  <w:comment w:id="24" w:author="Author" w:date="1900-01-01T00:00:00Z" w:initials="A">
    <w:p w14:paraId="52EB266C" w14:textId="77777777" w:rsidR="00BC3267" w:rsidRDefault="00BC3267">
      <w:pPr>
        <w:pStyle w:val="CommentText"/>
      </w:pPr>
      <w:r>
        <w:t>Open issue No. 3</w:t>
      </w:r>
    </w:p>
  </w:comment>
  <w:comment w:id="25" w:author="Author" w:date="1900-01-01T00:00:00Z" w:initials="A">
    <w:p w14:paraId="1C4B0DFD" w14:textId="77777777" w:rsidR="00BC3267" w:rsidRDefault="00BC3267">
      <w:pPr>
        <w:pStyle w:val="CommentText"/>
      </w:pPr>
      <w:r>
        <w:t>Open issue No. 4</w:t>
      </w:r>
    </w:p>
  </w:comment>
  <w:comment w:id="26" w:author="Author" w:date="1900-01-01T00:00:00Z" w:initials="A">
    <w:p w14:paraId="07636F43" w14:textId="77777777" w:rsidR="00BC3267" w:rsidRDefault="00BC3267">
      <w:pPr>
        <w:pStyle w:val="CommentText"/>
      </w:pPr>
      <w:r>
        <w:t>Open issue No. 11</w:t>
      </w:r>
    </w:p>
  </w:comment>
  <w:comment w:id="27" w:author="Author" w:date="1900-01-01T00:00:00Z" w:initials="A">
    <w:p w14:paraId="580F2BDD" w14:textId="77777777" w:rsidR="00BC3267" w:rsidRDefault="00BC3267">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419A5" w14:textId="77777777" w:rsidR="00014F87" w:rsidRDefault="00014F87">
      <w:pPr>
        <w:spacing w:after="0"/>
      </w:pPr>
      <w:r>
        <w:separator/>
      </w:r>
    </w:p>
  </w:endnote>
  <w:endnote w:type="continuationSeparator" w:id="0">
    <w:p w14:paraId="3C3A8490" w14:textId="77777777" w:rsidR="00014F87" w:rsidRDefault="00014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S Mincho"/>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Mincho">
    <w:altName w:val="Yu Gothic UI"/>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D5C67" w14:textId="3CE0F06D" w:rsidR="00BC3267" w:rsidRDefault="00BC3267">
    <w:pPr>
      <w:pStyle w:val="Footer"/>
      <w:spacing w:before="120" w:after="120"/>
      <w:jc w:val="center"/>
    </w:pPr>
    <w:r>
      <w:fldChar w:fldCharType="begin"/>
    </w:r>
    <w:r>
      <w:instrText xml:space="preserve"> PAGE   \* MERGEFORMAT </w:instrText>
    </w:r>
    <w:r>
      <w:fldChar w:fldCharType="separate"/>
    </w:r>
    <w:r w:rsidRPr="008E4867">
      <w:rPr>
        <w:noProof/>
        <w:lang w:val="ja-JP"/>
      </w:rPr>
      <w:t>15</w:t>
    </w:r>
    <w:r>
      <w:fldChar w:fldCharType="end"/>
    </w:r>
  </w:p>
  <w:p w14:paraId="21AEA8D2" w14:textId="77777777" w:rsidR="00BC3267" w:rsidRDefault="00BC32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8B34C" w14:textId="77777777" w:rsidR="00014F87" w:rsidRDefault="00014F87">
      <w:pPr>
        <w:spacing w:after="0"/>
      </w:pPr>
      <w:r>
        <w:separator/>
      </w:r>
    </w:p>
  </w:footnote>
  <w:footnote w:type="continuationSeparator" w:id="0">
    <w:p w14:paraId="5432E194" w14:textId="77777777" w:rsidR="00014F87" w:rsidRDefault="00014F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74340-09F3-4BAE-B585-F76EC3E135EC}">
  <ds:schemaRefs>
    <ds:schemaRef ds:uri="http://schemas.openxmlformats.org/officeDocument/2006/bibliography"/>
  </ds:schemaRefs>
</ds:datastoreItem>
</file>

<file path=customXml/itemProps2.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F8A1BB2-0AF0-4D90-9A3F-2174D3809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6695</Words>
  <Characters>38162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cp:keywords>CTPClassification=CTP_NT</cp:keywords>
  <cp:lastModifiedBy/>
  <cp:revision>1</cp:revision>
  <dcterms:created xsi:type="dcterms:W3CDTF">2020-08-18T09:50:00Z</dcterms:created>
  <dcterms:modified xsi:type="dcterms:W3CDTF">2020-08-19T05:54:00Z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