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ko-KR"/>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1B43D9" w:rsidRDefault="001B43D9">
                            <w:r>
                              <w:t> [102-e-Post-NR-CovEnh-02] Email discussion/approval of link budget template, initial collection of simulation results for baseline and enhancements - Yosuke (Softbank)/Marco (Nokia)/Jianchi (CT)/Yi (Qualcomm)/Xianghui(ZTE)</w:t>
                            </w:r>
                          </w:p>
                          <w:p w14:paraId="109507DE" w14:textId="77777777" w:rsidR="001B43D9" w:rsidRDefault="001B43D9">
                            <w:r>
                              <w:rPr>
                                <w:highlight w:val="yellow"/>
                              </w:rPr>
                              <w:t>· Phase 1 (9/10 to 9/29): link budget template</w:t>
                            </w:r>
                          </w:p>
                          <w:p w14:paraId="405B94F5" w14:textId="77777777" w:rsidR="001B43D9" w:rsidRDefault="001B43D9">
                            <w:r>
                              <w:t>· Phase 2 (9/30 to 10/14): initial collection of simulation results for baseline</w:t>
                            </w:r>
                          </w:p>
                          <w:p w14:paraId="146E5585" w14:textId="77777777" w:rsidR="001B43D9" w:rsidRDefault="001B43D9">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1B43D9" w:rsidRDefault="001B43D9">
                      <w:r>
                        <w:t> [102-e-Post-NR-CovEnh-02] Email discussion/approval of link budget template, initial collection of simulation results for baseline and enhancements - Yosuke (Softbank)/Marco (Nokia)/Jianchi (CT)/Yi (Qualcomm)/Xianghui(ZTE)</w:t>
                      </w:r>
                    </w:p>
                    <w:p w14:paraId="109507DE" w14:textId="77777777" w:rsidR="001B43D9" w:rsidRDefault="001B43D9">
                      <w:r>
                        <w:rPr>
                          <w:highlight w:val="yellow"/>
                        </w:rPr>
                        <w:t>· Phase 1 (9/10 to 9/29): link budget template</w:t>
                      </w:r>
                    </w:p>
                    <w:p w14:paraId="405B94F5" w14:textId="77777777" w:rsidR="001B43D9" w:rsidRDefault="001B43D9">
                      <w:r>
                        <w:t>· Phase 2 (9/30 to 10/14): initial collection of simulation results for baseline</w:t>
                      </w:r>
                    </w:p>
                    <w:p w14:paraId="146E5585" w14:textId="77777777" w:rsidR="001B43D9" w:rsidRDefault="001B43D9">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1B43D9">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proofErr w:type="gramStart"/>
            <w:r>
              <w:rPr>
                <w:rFonts w:eastAsia="SimSun" w:hint="eastAsia"/>
                <w:lang w:eastAsia="zh-CN"/>
              </w:rPr>
              <w:t>H</w:t>
            </w:r>
            <w:r>
              <w:rPr>
                <w:rFonts w:eastAsia="SimSun"/>
                <w:lang w:eastAsia="zh-CN"/>
              </w:rPr>
              <w:t>uawei ,</w:t>
            </w:r>
            <w:proofErr w:type="gramEnd"/>
            <w:r>
              <w:rPr>
                <w:rFonts w:eastAsia="SimSun"/>
                <w:lang w:eastAsia="zh-CN"/>
              </w:rPr>
              <w:t xml:space="preserve"> </w:t>
            </w:r>
            <w:proofErr w:type="spellStart"/>
            <w:r>
              <w:rPr>
                <w:rFonts w:eastAsia="SimSun"/>
                <w:lang w:eastAsia="zh-CN"/>
              </w:rPr>
              <w:t>Hisilicon</w:t>
            </w:r>
            <w:proofErr w:type="spellEnd"/>
          </w:p>
        </w:tc>
        <w:tc>
          <w:tcPr>
            <w:tcW w:w="7786" w:type="dxa"/>
          </w:tcPr>
          <w:p w14:paraId="5AD582BA" w14:textId="77777777" w:rsidR="00C35115" w:rsidRDefault="00BB7EF1">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SimSun"/>
                <w:lang w:eastAsia="zh-CN"/>
              </w:rPr>
            </w:pPr>
            <w:r>
              <w:rPr>
                <w:rFonts w:eastAsia="SimSun"/>
                <w:lang w:eastAsia="zh-CN"/>
              </w:rPr>
              <w:t>Firstly, regarding notes in (</w:t>
            </w:r>
            <w:proofErr w:type="gramStart"/>
            <w:r>
              <w:rPr>
                <w:rFonts w:eastAsia="SimSun"/>
                <w:lang w:eastAsia="zh-CN"/>
              </w:rPr>
              <w:t>2)(</w:t>
            </w:r>
            <w:proofErr w:type="gramEnd"/>
            <w:r>
              <w:rPr>
                <w:rFonts w:eastAsia="SimSun"/>
                <w:lang w:eastAsia="zh-CN"/>
              </w:rPr>
              <w:t>2a)(10a)(10b), we prefer to follow previous agreements and keep the terminology of</w:t>
            </w:r>
          </w:p>
          <w:p w14:paraId="78592E04" w14:textId="77777777" w:rsidR="00C35115" w:rsidRDefault="00BB7EF1">
            <w:pPr>
              <w:pStyle w:val="ListBullet"/>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10474684"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ListBullet"/>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6C6D88FD"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ListBullet"/>
              <w:numPr>
                <w:ilvl w:val="0"/>
                <w:numId w:val="0"/>
              </w:numPr>
              <w:rPr>
                <w:rFonts w:eastAsia="SimSun"/>
                <w:lang w:eastAsia="zh-CN"/>
              </w:rPr>
            </w:pPr>
            <w:r>
              <w:rPr>
                <w:rFonts w:eastAsia="SimSun"/>
                <w:noProof/>
                <w:lang w:eastAsia="ko-KR"/>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SimSun"/>
                <w:lang w:eastAsia="zh-CN"/>
              </w:rPr>
            </w:pPr>
            <w:r>
              <w:rPr>
                <w:rFonts w:eastAsia="SimSun"/>
                <w:lang w:eastAsia="zh-CN"/>
              </w:rPr>
              <w:t xml:space="preserve">As a result, we suggest </w:t>
            </w:r>
            <w:proofErr w:type="gramStart"/>
            <w:r>
              <w:rPr>
                <w:rFonts w:eastAsia="SimSun"/>
                <w:lang w:eastAsia="zh-CN"/>
              </w:rPr>
              <w:t>to remove</w:t>
            </w:r>
            <w:proofErr w:type="gramEnd"/>
            <w:r>
              <w:rPr>
                <w:rFonts w:eastAsia="SimSun"/>
                <w:lang w:eastAsia="zh-CN"/>
              </w:rPr>
              <w:t xml:space="preserve"> the corresponding notes from the template, i.e. “Note: RAN1 needs to decide which wording is better, "transmit chains" or </w:t>
            </w:r>
            <w:r>
              <w:rPr>
                <w:rFonts w:eastAsia="SimSun"/>
                <w:lang w:eastAsia="zh-CN"/>
              </w:rPr>
              <w:lastRenderedPageBreak/>
              <w:t xml:space="preserve">"transmit </w:t>
            </w:r>
            <w:proofErr w:type="spellStart"/>
            <w:r>
              <w:rPr>
                <w:rFonts w:eastAsia="SimSun"/>
                <w:lang w:eastAsia="zh-CN"/>
              </w:rPr>
              <w:t>TxRUs</w:t>
            </w:r>
            <w:proofErr w:type="spellEnd"/>
            <w:r>
              <w:rPr>
                <w:rFonts w:eastAsia="SimSun"/>
                <w:lang w:eastAsia="zh-CN"/>
              </w:rPr>
              <w:t>"”</w:t>
            </w:r>
          </w:p>
          <w:p w14:paraId="1FF7E831" w14:textId="77777777" w:rsidR="00C35115" w:rsidRDefault="00C35115">
            <w:pPr>
              <w:pStyle w:val="ListBullet"/>
              <w:numPr>
                <w:ilvl w:val="0"/>
                <w:numId w:val="0"/>
              </w:numPr>
              <w:rPr>
                <w:rFonts w:eastAsia="SimSun"/>
                <w:lang w:eastAsia="zh-CN"/>
              </w:rPr>
            </w:pPr>
          </w:p>
          <w:p w14:paraId="049369C2" w14:textId="77777777" w:rsidR="00C35115" w:rsidRDefault="00BB7EF1">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SimSun"/>
                <w:lang w:eastAsia="zh-CN"/>
              </w:rPr>
            </w:pPr>
          </w:p>
          <w:p w14:paraId="717971D1" w14:textId="77777777" w:rsidR="00C35115" w:rsidRDefault="00BB7EF1">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SimSun"/>
                <w:lang w:eastAsia="zh-CN"/>
              </w:rPr>
            </w:pPr>
          </w:p>
          <w:p w14:paraId="1BF93F5D" w14:textId="77777777" w:rsidR="00C35115" w:rsidRDefault="00BB7EF1">
            <w:pPr>
              <w:pStyle w:val="ListBullet"/>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ListBullet"/>
              <w:numPr>
                <w:ilvl w:val="0"/>
                <w:numId w:val="0"/>
              </w:numPr>
              <w:rPr>
                <w:rFonts w:eastAsia="SimSun"/>
                <w:lang w:eastAsia="zh-CN"/>
              </w:rPr>
            </w:pPr>
          </w:p>
          <w:p w14:paraId="66140884" w14:textId="77777777" w:rsidR="00C35115" w:rsidRDefault="00BB7EF1">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proofErr w:type="gramStart"/>
            <w:r>
              <w:t>We’ll</w:t>
            </w:r>
            <w:proofErr w:type="gramEnd"/>
            <w:r>
              <w:t xml:space="preserve"> comment here rather than in the template for brevity’s sake.</w:t>
            </w:r>
          </w:p>
          <w:p w14:paraId="387125CD" w14:textId="77777777" w:rsidR="00C35115" w:rsidRDefault="00BB7EF1">
            <w:r>
              <w:t xml:space="preserve">Regarding (2), ((2a), (10a), and (10b), </w:t>
            </w:r>
            <w:proofErr w:type="spellStart"/>
            <w:r>
              <w:t>TxRU</w:t>
            </w:r>
            <w:proofErr w:type="spellEnd"/>
            <w:r>
              <w:t xml:space="preserve">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w:t>
            </w:r>
            <w:proofErr w:type="gramStart"/>
            <w:r>
              <w:t>template, but</w:t>
            </w:r>
            <w:proofErr w:type="gramEnd"/>
            <w:r>
              <w:t xml:space="preserve"> think we should keep them as is for our reference for now.  The full agreements (like the values that Delta1, Delta2, and Delta3 take on) are not fully reflected in the spreadsheet, and it is easier to relate the proposed </w:t>
            </w:r>
            <w:r>
              <w:lastRenderedPageBreak/>
              <w:t xml:space="preserve">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 xml:space="preserve">Regarding (30a/b), since we have antenna gain component 2 for downlink at gNB, we would need it for uplink as well.  </w:t>
            </w:r>
            <w:proofErr w:type="gramStart"/>
            <w:r>
              <w:t>So</w:t>
            </w:r>
            <w:proofErr w:type="gramEnd"/>
            <w:r>
              <w:t xml:space="preserve">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 xml:space="preserve">Suggest </w:t>
            </w:r>
            <w:proofErr w:type="gramStart"/>
            <w:r>
              <w:t>to add</w:t>
            </w:r>
            <w:proofErr w:type="gramEnd"/>
            <w:r>
              <w:t xml:space="preserve">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I may miss some fine tuning here, but this may be best addressed in a later 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We share similar view as Huawei that terminologies in (</w:t>
            </w:r>
            <w:proofErr w:type="gramStart"/>
            <w:r>
              <w:rPr>
                <w:rFonts w:eastAsia="SimSun"/>
                <w:lang w:eastAsia="zh-CN"/>
              </w:rPr>
              <w:t>2)(</w:t>
            </w:r>
            <w:proofErr w:type="gramEnd"/>
            <w:r>
              <w:rPr>
                <w:rFonts w:eastAsia="SimSun"/>
                <w:lang w:eastAsia="zh-CN"/>
              </w:rPr>
              <w:t xml:space="preserve">2a)(10a)(10b) should follow the agreements on the block diagram for the definition of antenna array gain. For instance, N is number of transmit </w:t>
            </w:r>
            <w:proofErr w:type="spellStart"/>
            <w:r>
              <w:rPr>
                <w:rFonts w:eastAsia="SimSun"/>
                <w:lang w:eastAsia="zh-CN"/>
              </w:rPr>
              <w:t>TxRUs</w:t>
            </w:r>
            <w:proofErr w:type="spellEnd"/>
            <w:r>
              <w:rPr>
                <w:rFonts w:eastAsia="SimSun"/>
                <w:lang w:eastAsia="zh-CN"/>
              </w:rPr>
              <w:t xml:space="preserve">,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proofErr w:type="gramStart"/>
            <w:r>
              <w:rPr>
                <w:highlight w:val="yellow"/>
              </w:rPr>
              <w:t>Total</w:t>
            </w:r>
            <w:proofErr w:type="gramEnd"/>
            <w:r>
              <w:rPr>
                <w:highlight w:val="yellow"/>
              </w:rPr>
              <w:t xml:space="preserve">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 xml:space="preserve">Total transmit power corresponds to row </w:t>
            </w:r>
            <w:proofErr w:type="gramStart"/>
            <w:r>
              <w:t>No.(</w:t>
            </w:r>
            <w:proofErr w:type="gramEnd"/>
            <w:r>
              <w:t>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w:t>
            </w:r>
            <w:proofErr w:type="gramStart"/>
            <w:r>
              <w:rPr>
                <w:rFonts w:eastAsia="SimSun"/>
                <w:lang w:eastAsia="zh-CN"/>
              </w:rPr>
              <w:t>2)(</w:t>
            </w:r>
            <w:proofErr w:type="gramEnd"/>
            <w:r>
              <w:rPr>
                <w:rFonts w:eastAsia="SimSun"/>
                <w:lang w:eastAsia="zh-CN"/>
              </w:rPr>
              <w:t>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2. For MCL in (30a) and (30b</w:t>
            </w:r>
            <w:proofErr w:type="gramStart"/>
            <w:r>
              <w:rPr>
                <w:rFonts w:eastAsia="SimSun" w:hint="eastAsia"/>
                <w:lang w:eastAsia="zh-CN"/>
              </w:rPr>
              <w:t>),  we</w:t>
            </w:r>
            <w:proofErr w:type="gramEnd"/>
            <w:r>
              <w:rPr>
                <w:rFonts w:eastAsia="SimSun" w:hint="eastAsia"/>
                <w:lang w:eastAsia="zh-CN"/>
              </w:rPr>
              <w:t xml:space="preserve"> are fine with including (11bis) although it is a step further with the current definition agreed in the last meeting.  However, the current wording is a bit confusing with bracket and question mark. </w:t>
            </w:r>
            <w:r>
              <w:rPr>
                <w:rFonts w:eastAsia="SimSun" w:hint="eastAsia"/>
                <w:lang w:eastAsia="zh-CN"/>
              </w:rPr>
              <w:lastRenderedPageBreak/>
              <w:t xml:space="preserve">We think clear definition should be pursued at such a late stage. </w:t>
            </w:r>
            <w:proofErr w:type="gramStart"/>
            <w:r>
              <w:rPr>
                <w:rFonts w:eastAsia="SimSun" w:hint="eastAsia"/>
                <w:lang w:eastAsia="zh-CN"/>
              </w:rPr>
              <w:t>Hence</w:t>
            </w:r>
            <w:proofErr w:type="gramEnd"/>
            <w:r>
              <w:rPr>
                <w:rFonts w:eastAsia="SimSun" w:hint="eastAsia"/>
                <w:lang w:eastAsia="zh-CN"/>
              </w:rPr>
              <w:t xml:space="preserv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ListBullet"/>
              <w:numPr>
                <w:ilvl w:val="0"/>
                <w:numId w:val="0"/>
              </w:numPr>
              <w:rPr>
                <w:rFonts w:eastAsia="SimSun"/>
                <w:lang w:eastAsia="zh-CN"/>
              </w:rPr>
            </w:pPr>
          </w:p>
          <w:p w14:paraId="12D6455F" w14:textId="77777777" w:rsidR="00C35115" w:rsidRDefault="00BB7EF1">
            <w:pPr>
              <w:pStyle w:val="ListBullet"/>
              <w:numPr>
                <w:ilvl w:val="0"/>
                <w:numId w:val="0"/>
              </w:numPr>
            </w:pPr>
            <w:r>
              <w:rPr>
                <w:rFonts w:eastAsia="SimSun"/>
                <w:lang w:eastAsia="zh-CN"/>
              </w:rPr>
              <w:t>Regarding the wording of (2) (2a) (10a) (10b), just use “</w:t>
            </w:r>
            <w:r>
              <w:t xml:space="preserve">transmit chains” may bring misunderstanding on (2) and (2a), (10a) and (10b) as well. This template is applied for both UL and DL. Thus, the wording is “transmitter” and “receiver”, not “gNB” and “UE”. </w:t>
            </w:r>
            <w:proofErr w:type="gramStart"/>
            <w:r>
              <w:t>In order to</w:t>
            </w:r>
            <w:proofErr w:type="gramEnd"/>
            <w:r>
              <w:t xml:space="preserve"> achieve alignment with the previous agreements, we prefer to keep the contents as:</w:t>
            </w:r>
          </w:p>
          <w:p w14:paraId="412FF97F" w14:textId="77777777" w:rsidR="00C35115" w:rsidRDefault="00BB7EF1">
            <w:pPr>
              <w:pStyle w:val="ListBullet"/>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ListBullet"/>
              <w:numPr>
                <w:ilvl w:val="0"/>
                <w:numId w:val="13"/>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0F81BF75"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ListBullet"/>
              <w:numPr>
                <w:ilvl w:val="0"/>
                <w:numId w:val="13"/>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188A88A9"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proofErr w:type="gramStart"/>
            <w:r>
              <w:rPr>
                <w:rFonts w:eastAsia="SimSun"/>
                <w:lang w:val="en-US" w:eastAsia="zh-CN"/>
              </w:rPr>
              <w:t>In order to</w:t>
            </w:r>
            <w:proofErr w:type="gramEnd"/>
            <w:r>
              <w:rPr>
                <w:rFonts w:eastAsia="SimSun"/>
                <w:lang w:val="en-US" w:eastAsia="zh-CN"/>
              </w:rPr>
              <w:t xml:space="preserve">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egarding (</w:t>
            </w:r>
            <w:proofErr w:type="gramStart"/>
            <w:r>
              <w:rPr>
                <w:rFonts w:eastAsia="SimSun"/>
                <w:lang w:eastAsia="zh-CN"/>
              </w:rPr>
              <w:t>2)(</w:t>
            </w:r>
            <w:proofErr w:type="gramEnd"/>
            <w:r>
              <w:rPr>
                <w:rFonts w:eastAsia="SimSun"/>
                <w:lang w:eastAsia="zh-CN"/>
              </w:rPr>
              <w:t xml:space="preserve">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114E5EBD" w14:textId="77777777" w:rsidR="00C35115" w:rsidRDefault="00BB7EF1">
            <w:pPr>
              <w:pStyle w:val="ListBullet"/>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ListBullet"/>
              <w:numPr>
                <w:ilvl w:val="0"/>
                <w:numId w:val="0"/>
              </w:numPr>
              <w:rPr>
                <w:rFonts w:eastAsia="SimSun"/>
                <w:lang w:eastAsia="zh-CN"/>
              </w:rPr>
            </w:pPr>
            <w:r>
              <w:t>Regarding (16</w:t>
            </w:r>
            <w:proofErr w:type="gramStart"/>
            <w:r>
              <w:t>a)(</w:t>
            </w:r>
            <w:proofErr w:type="gramEnd"/>
            <w:r>
              <w:t>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ListBullet"/>
              <w:numPr>
                <w:ilvl w:val="0"/>
                <w:numId w:val="0"/>
              </w:numPr>
              <w:rPr>
                <w:rFonts w:eastAsia="SimSun"/>
                <w:lang w:eastAsia="zh-CN"/>
              </w:rPr>
            </w:pPr>
          </w:p>
          <w:p w14:paraId="54D11245" w14:textId="77777777" w:rsidR="00C35115" w:rsidRDefault="00BB7EF1">
            <w:pPr>
              <w:pStyle w:val="ListBullet"/>
              <w:numPr>
                <w:ilvl w:val="0"/>
                <w:numId w:val="0"/>
              </w:numPr>
              <w:rPr>
                <w:rFonts w:eastAsia="SimSun"/>
                <w:lang w:eastAsia="zh-CN"/>
              </w:rPr>
            </w:pPr>
            <w:r>
              <w:rPr>
                <w:rFonts w:eastAsia="SimSun" w:hint="eastAsia"/>
                <w:lang w:eastAsia="zh-CN"/>
              </w:rPr>
              <w:t>About (30</w:t>
            </w:r>
            <w:proofErr w:type="gramStart"/>
            <w:r>
              <w:rPr>
                <w:rFonts w:eastAsia="SimSun" w:hint="eastAsia"/>
                <w:lang w:eastAsia="zh-CN"/>
              </w:rPr>
              <w:t>a)(</w:t>
            </w:r>
            <w:proofErr w:type="gramEnd"/>
            <w:r>
              <w:rPr>
                <w:rFonts w:eastAsia="SimSun" w:hint="eastAsia"/>
                <w:lang w:eastAsia="zh-CN"/>
              </w:rPr>
              <w:t>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proofErr w:type="gramStart"/>
            <w:r>
              <w:rPr>
                <w:rFonts w:eastAsia="SimSun" w:hint="eastAsia"/>
                <w:lang w:eastAsia="zh-CN"/>
              </w:rPr>
              <w:t>Because</w:t>
            </w:r>
            <w:r>
              <w:rPr>
                <w:rFonts w:eastAsia="SimSun"/>
                <w:lang w:eastAsia="zh-CN"/>
              </w:rPr>
              <w:t>,</w:t>
            </w:r>
            <w:proofErr w:type="gramEnd"/>
            <w:r>
              <w:rPr>
                <w:rFonts w:eastAsia="SimSun"/>
                <w:lang w:eastAsia="zh-CN"/>
              </w:rPr>
              <w:t xml:space="preserve">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 xml:space="preserve">terminology, i.e., delta1~3, for both DL and UL. </w:t>
            </w:r>
            <w:proofErr w:type="gramStart"/>
            <w:r>
              <w:rPr>
                <w:rFonts w:eastAsia="SimSun" w:hint="eastAsia"/>
                <w:lang w:val="en-US" w:eastAsia="zh-CN"/>
              </w:rPr>
              <w:t>While</w:t>
            </w:r>
            <w:r>
              <w:rPr>
                <w:rFonts w:hint="eastAsia"/>
              </w:rPr>
              <w:t>,</w:t>
            </w:r>
            <w:proofErr w:type="gramEnd"/>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 xml:space="preserve">Component 2 = 10 * log </w:t>
            </w:r>
            <w:proofErr w:type="gramStart"/>
            <w:r>
              <w:rPr>
                <w:rFonts w:eastAsia="SimSun"/>
                <w:i/>
                <w:iCs/>
                <w:lang w:val="en-US" w:eastAsia="zh-CN"/>
              </w:rPr>
              <w:t>10( N</w:t>
            </w:r>
            <w:proofErr w:type="gramEnd"/>
            <w:r>
              <w:rPr>
                <w:rFonts w:eastAsia="SimSun"/>
                <w:i/>
                <w:iCs/>
                <w:lang w:val="en-US" w:eastAsia="zh-CN"/>
              </w:rPr>
              <w:t>/k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 xml:space="preserve">Components 3 and 4 = Antenna Element Gain + 10 * log </w:t>
            </w:r>
            <w:proofErr w:type="gramStart"/>
            <w:r>
              <w:rPr>
                <w:rFonts w:eastAsia="SimSun"/>
                <w:i/>
                <w:iCs/>
                <w:lang w:val="en-US" w:eastAsia="zh-CN"/>
              </w:rPr>
              <w:t>10( M</w:t>
            </w:r>
            <w:proofErr w:type="gramEnd"/>
            <w:r>
              <w:rPr>
                <w:rFonts w:eastAsia="SimSun"/>
                <w:i/>
                <w:iCs/>
                <w:lang w:val="en-US" w:eastAsia="zh-CN"/>
              </w:rPr>
              <w:t>/N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 xml:space="preserve">Components 3 and 4 = Antenna Element Gain + 10 * log </w:t>
            </w:r>
            <w:proofErr w:type="gramStart"/>
            <w:r>
              <w:rPr>
                <w:rFonts w:eastAsia="SimSun"/>
                <w:i/>
                <w:iCs/>
                <w:lang w:val="en-US" w:eastAsia="zh-CN"/>
              </w:rPr>
              <w:t>10( M</w:t>
            </w:r>
            <w:proofErr w:type="gramEnd"/>
            <w:r>
              <w:rPr>
                <w:rFonts w:eastAsia="SimSun"/>
                <w:i/>
                <w:iCs/>
                <w:lang w:val="en-US" w:eastAsia="zh-CN"/>
              </w:rPr>
              <w:t>/k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 xml:space="preserve">For FR2, a unified beamforming gain across </w:t>
            </w:r>
            <w:proofErr w:type="spellStart"/>
            <w:r>
              <w:rPr>
                <w:rFonts w:hint="eastAsia"/>
              </w:rPr>
              <w:t>transmi</w:t>
            </w:r>
            <w:proofErr w:type="spellEnd"/>
            <w:r>
              <w:rPr>
                <w:rFonts w:eastAsia="SimSun" w:hint="eastAsia"/>
                <w:lang w:val="en-US" w:eastAsia="zh-CN"/>
              </w:rPr>
              <w:t>t</w:t>
            </w:r>
            <w:proofErr w:type="spellStart"/>
            <w:r>
              <w:rPr>
                <w:rFonts w:hint="eastAsia"/>
              </w:rPr>
              <w:t>ter</w:t>
            </w:r>
            <w:proofErr w:type="spellEnd"/>
            <w:r>
              <w:rPr>
                <w:rFonts w:hint="eastAsia"/>
              </w:rPr>
              <w:t xml:space="preserve">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 xml:space="preserve">report the overall correction into one of the </w:t>
            </w:r>
            <w:proofErr w:type="gramStart"/>
            <w:r>
              <w:rPr>
                <w:rFonts w:hint="eastAsia"/>
              </w:rPr>
              <w:t>delta</w:t>
            </w:r>
            <w:proofErr w:type="gramEnd"/>
            <w:r>
              <w:rPr>
                <w:rFonts w:hint="eastAsia"/>
              </w:rPr>
              <w:t>,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 xml:space="preserve">Let us go with transmit chains and receive chains. </w:t>
            </w:r>
            <w:proofErr w:type="spellStart"/>
            <w:r>
              <w:t>TxRUs</w:t>
            </w:r>
            <w:proofErr w:type="spellEnd"/>
            <w:r>
              <w:t xml:space="preserve"> gets confusing to use, especially on UE side.</w:t>
            </w:r>
          </w:p>
          <w:p w14:paraId="7CB460FD" w14:textId="77777777" w:rsidR="00C35115" w:rsidRDefault="00BB7EF1">
            <w:r>
              <w:t xml:space="preserve">Regarding 3(b), BWs can be different as well. </w:t>
            </w:r>
            <w:proofErr w:type="gramStart"/>
            <w:r>
              <w:t>We’ll</w:t>
            </w:r>
            <w:proofErr w:type="gramEnd"/>
            <w:r>
              <w:t xml:space="preserve"> need to account for this.</w:t>
            </w:r>
          </w:p>
          <w:p w14:paraId="2EF9C026" w14:textId="77777777" w:rsidR="00C35115" w:rsidRDefault="00BB7EF1">
            <w:r>
              <w:t>11bis should not be added as part of MCL. This is not in line with the 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lastRenderedPageBreak/>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ListBullet"/>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 xml:space="preserve">It seems “Cell area </w:t>
            </w:r>
            <w:proofErr w:type="gramStart"/>
            <w:r>
              <w:rPr>
                <w:rFonts w:eastAsia="Malgun Gothic"/>
                <w:lang w:eastAsia="ko-KR"/>
              </w:rPr>
              <w:t>reliability(</w:t>
            </w:r>
            <w:proofErr w:type="gramEnd"/>
            <w:r>
              <w:rPr>
                <w:rFonts w:eastAsia="Malgun Gothic"/>
                <w:lang w:eastAsia="ko-KR"/>
              </w:rPr>
              <w:t>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w:t>
            </w:r>
            <w:proofErr w:type="gramStart"/>
            <w:r>
              <w:rPr>
                <w:rFonts w:eastAsia="Malgun Gothic"/>
                <w:lang w:eastAsia="ko-KR"/>
              </w:rPr>
              <w:t>a)(</w:t>
            </w:r>
            <w:proofErr w:type="gramEnd"/>
            <w:r>
              <w:rPr>
                <w:rFonts w:eastAsia="Malgun Gothic"/>
                <w:lang w:eastAsia="ko-KR"/>
              </w:rPr>
              <w:t>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lastRenderedPageBreak/>
                    <w:t>1. Scenario dependent targets, e.g., ISD/MPL</w:t>
                  </w:r>
                </w:p>
                <w:p w14:paraId="71FF97FA" w14:textId="77777777" w:rsidR="00C35115" w:rsidRDefault="00BB7EF1">
                  <w:pPr>
                    <w:numPr>
                      <w:ilvl w:val="2"/>
                      <w:numId w:val="19"/>
                    </w:numPr>
                    <w:snapToGrid/>
                    <w:spacing w:before="100" w:beforeAutospacing="1" w:line="240" w:lineRule="auto"/>
                    <w:jc w:val="left"/>
                  </w:pPr>
                  <w:r>
                    <w:t xml:space="preserve">2. Service dependent targets, e.g., [MCL=147] dB for </w:t>
                  </w:r>
                  <w:proofErr w:type="gramStart"/>
                  <w:r>
                    <w:t>VoIP;</w:t>
                  </w:r>
                  <w:proofErr w:type="gramEnd"/>
                </w:p>
                <w:p w14:paraId="757643B5"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 xml:space="preserve">OK to </w:t>
      </w:r>
      <w:proofErr w:type="gramStart"/>
      <w:r>
        <w:t>include:</w:t>
      </w:r>
      <w:proofErr w:type="gramEnd"/>
      <w:r>
        <w:t xml:space="preserve"> Huawei/</w:t>
      </w:r>
      <w:proofErr w:type="spellStart"/>
      <w:r>
        <w:t>HiSilicon</w:t>
      </w:r>
      <w:proofErr w:type="spellEnd"/>
      <w:r>
        <w:t>, Ericsson, Sharp</w:t>
      </w:r>
      <w:ins w:id="12" w:author="ZTE" w:date="2020-09-24T14:14:00Z">
        <w:r>
          <w:rPr>
            <w:rFonts w:eastAsia="SimSun"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w:t>
      </w:r>
      <w:proofErr w:type="gramStart"/>
      <w:r>
        <w:t>proposal, and</w:t>
      </w:r>
      <w:proofErr w:type="gramEnd"/>
      <w:r>
        <w:t xml:space="preserve">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w:t>
      </w:r>
      <w:proofErr w:type="gramStart"/>
      <w:r>
        <w:rPr>
          <w:b/>
          <w:u w:val="single"/>
        </w:rPr>
        <w:t>a)(</w:t>
      </w:r>
      <w:proofErr w:type="gramEnd"/>
      <w:r>
        <w:rPr>
          <w:b/>
          <w:u w:val="single"/>
        </w:rPr>
        <w:t>23b)</w:t>
      </w:r>
    </w:p>
    <w:p w14:paraId="478462CD" w14:textId="77777777" w:rsidR="00C35115" w:rsidRDefault="00BB7EF1">
      <w:pPr>
        <w:pStyle w:val="ListParagraph"/>
        <w:numPr>
          <w:ilvl w:val="1"/>
          <w:numId w:val="12"/>
        </w:numPr>
      </w:pPr>
      <w:r>
        <w:t>OK: Huawei/</w:t>
      </w:r>
      <w:proofErr w:type="spellStart"/>
      <w:r>
        <w:t>HiSilicon</w:t>
      </w:r>
      <w:proofErr w:type="spellEnd"/>
      <w:r>
        <w:t>,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1E2967BC" w14:textId="77777777" w:rsidR="00C35115" w:rsidRDefault="00BB7EF1">
      <w:pPr>
        <w:pStyle w:val="ListBullet"/>
        <w:numPr>
          <w:ilvl w:val="1"/>
          <w:numId w:val="20"/>
        </w:numPr>
        <w:rPr>
          <w:rFonts w:eastAsia="SimSun"/>
          <w:lang w:eastAsia="zh-CN"/>
        </w:rPr>
      </w:pPr>
      <w:r>
        <w:rPr>
          <w:rFonts w:eastAsia="SimSun"/>
          <w:lang w:eastAsia="zh-CN"/>
        </w:rPr>
        <w:lastRenderedPageBreak/>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proofErr w:type="spellStart"/>
      <w:r>
        <w:t>Correration</w:t>
      </w:r>
      <w:proofErr w:type="spellEnd"/>
      <w:r>
        <w:t xml:space="preserve">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proofErr w:type="spellStart"/>
      <w:r>
        <w:t>Frequecny</w:t>
      </w:r>
      <w:proofErr w:type="spellEnd"/>
      <w:r>
        <w:t xml:space="preserve">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lastRenderedPageBreak/>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w:t>
      </w:r>
      <w:proofErr w:type="gramStart"/>
      <w:r>
        <w:rPr>
          <w:b/>
          <w:u w:val="single"/>
        </w:rPr>
        <w:t>a)(</w:t>
      </w:r>
      <w:proofErr w:type="gramEnd"/>
      <w:r>
        <w:rPr>
          <w:b/>
          <w:u w:val="single"/>
        </w:rPr>
        <w:t>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(3-1) Explanation of rows (</w:t>
      </w:r>
      <w:proofErr w:type="gramStart"/>
      <w:r>
        <w:rPr>
          <w:b/>
          <w:u w:val="single"/>
        </w:rPr>
        <w:t>2)(</w:t>
      </w:r>
      <w:proofErr w:type="gramEnd"/>
      <w:r>
        <w:rPr>
          <w:b/>
          <w:u w:val="single"/>
        </w:rPr>
        <w:t xml:space="preserve">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w:t>
      </w:r>
      <w:proofErr w:type="spellStart"/>
      <w:r>
        <w:t>TxRU</w:t>
      </w:r>
      <w:proofErr w:type="spellEnd"/>
      <w:r>
        <w:t>)</w:t>
      </w:r>
    </w:p>
    <w:p w14:paraId="6C9737D6" w14:textId="77777777" w:rsidR="00C35115" w:rsidRDefault="00BB7EF1">
      <w:pPr>
        <w:pStyle w:val="ListParagraph"/>
        <w:widowControl w:val="0"/>
        <w:numPr>
          <w:ilvl w:val="2"/>
          <w:numId w:val="20"/>
        </w:numPr>
        <w:snapToGrid/>
        <w:spacing w:after="0" w:afterAutospacing="0" w:line="240" w:lineRule="auto"/>
      </w:pPr>
      <w:r>
        <w:t>Huawei/</w:t>
      </w:r>
      <w:proofErr w:type="spellStart"/>
      <w:r>
        <w:t>HiSilicon</w:t>
      </w:r>
      <w:proofErr w:type="spellEnd"/>
      <w:r>
        <w:t>, Intel, CATT, CTC, ZTE, Samsung</w:t>
      </w:r>
    </w:p>
    <w:p w14:paraId="0045EBD5" w14:textId="77777777" w:rsidR="00C35115" w:rsidRDefault="00BB7EF1">
      <w:pPr>
        <w:pStyle w:val="ListBullet"/>
        <w:numPr>
          <w:ilvl w:val="3"/>
          <w:numId w:val="20"/>
        </w:numPr>
        <w:rPr>
          <w:rFonts w:eastAsia="SimSun"/>
          <w:lang w:eastAsia="zh-CN"/>
        </w:rPr>
      </w:pPr>
      <w:r>
        <w:rPr>
          <w:rFonts w:eastAsia="SimSun"/>
          <w:lang w:eastAsia="zh-CN"/>
        </w:rPr>
        <w:lastRenderedPageBreak/>
        <w:t>transmit antenna elements in (1)</w:t>
      </w:r>
    </w:p>
    <w:p w14:paraId="1574EAD3" w14:textId="77777777" w:rsidR="00C35115" w:rsidRDefault="00BB7EF1">
      <w:pPr>
        <w:pStyle w:val="ListBullet"/>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41616D15"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ListBullet"/>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6D838444"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w:t>
      </w:r>
      <w:proofErr w:type="spellStart"/>
      <w:r>
        <w:t>TxRx</w:t>
      </w:r>
      <w:proofErr w:type="spellEnd"/>
      <w:r>
        <w:t xml:space="preserve"> is </w:t>
      </w:r>
      <w:proofErr w:type="spellStart"/>
      <w:r>
        <w:t>vaild</w:t>
      </w:r>
      <w:proofErr w:type="spellEnd"/>
      <w:r>
        <w:t xml:space="preserve">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ListBullet"/>
        <w:numPr>
          <w:ilvl w:val="3"/>
          <w:numId w:val="20"/>
        </w:numPr>
        <w:rPr>
          <w:rFonts w:eastAsia="SimSun"/>
          <w:lang w:eastAsia="zh-CN"/>
        </w:rPr>
      </w:pPr>
      <w:r>
        <w:rPr>
          <w:rFonts w:eastAsia="SimSun"/>
          <w:lang w:eastAsia="zh-CN"/>
        </w:rPr>
        <w:t xml:space="preserve">transmit </w:t>
      </w:r>
      <w:proofErr w:type="spellStart"/>
      <w:r>
        <w:rPr>
          <w:rFonts w:eastAsia="SimSun"/>
          <w:lang w:eastAsia="zh-CN"/>
        </w:rPr>
        <w:t>TxRUs</w:t>
      </w:r>
      <w:proofErr w:type="spellEnd"/>
      <w:r>
        <w:rPr>
          <w:rFonts w:eastAsia="SimSun"/>
          <w:lang w:eastAsia="zh-CN"/>
        </w:rPr>
        <w:t xml:space="preserve"> in (2)</w:t>
      </w:r>
    </w:p>
    <w:p w14:paraId="117334D4"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ListBullet"/>
        <w:numPr>
          <w:ilvl w:val="3"/>
          <w:numId w:val="20"/>
        </w:numPr>
        <w:rPr>
          <w:rFonts w:eastAsia="SimSun"/>
          <w:lang w:eastAsia="zh-CN"/>
        </w:rPr>
      </w:pPr>
      <w:r>
        <w:rPr>
          <w:rFonts w:eastAsia="SimSun"/>
          <w:lang w:eastAsia="zh-CN"/>
        </w:rPr>
        <w:t xml:space="preserve">receive </w:t>
      </w:r>
      <w:proofErr w:type="spellStart"/>
      <w:r>
        <w:rPr>
          <w:rFonts w:eastAsia="SimSun"/>
          <w:lang w:eastAsia="zh-CN"/>
        </w:rPr>
        <w:t>TxRUs</w:t>
      </w:r>
      <w:proofErr w:type="spellEnd"/>
      <w:r>
        <w:rPr>
          <w:rFonts w:eastAsia="SimSun"/>
          <w:lang w:eastAsia="zh-CN"/>
        </w:rPr>
        <w:t xml:space="preserve"> in (10a)</w:t>
      </w:r>
    </w:p>
    <w:p w14:paraId="400E47F1"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proofErr w:type="gramStart"/>
      <w:r>
        <w:t>In order to</w:t>
      </w:r>
      <w:proofErr w:type="gramEnd"/>
      <w:r>
        <w:t xml:space="preserve"> address the concern from the companies, we can add the following note that will be captured in the TR.</w:t>
      </w:r>
    </w:p>
    <w:p w14:paraId="0CF7219C" w14:textId="77777777" w:rsidR="00C35115" w:rsidRDefault="00BB7EF1">
      <w:pPr>
        <w:ind w:left="480"/>
        <w:rPr>
          <w:i/>
        </w:rPr>
      </w:pPr>
      <w:r>
        <w:rPr>
          <w:i/>
        </w:rPr>
        <w:t xml:space="preserve">Note: the terminology </w:t>
      </w:r>
      <w:proofErr w:type="spellStart"/>
      <w:r>
        <w:rPr>
          <w:i/>
        </w:rPr>
        <w:t>TxRU</w:t>
      </w:r>
      <w:proofErr w:type="spellEnd"/>
      <w:r>
        <w:rPr>
          <w:i/>
        </w:rPr>
        <w:t xml:space="preserve">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 xml:space="preserve">detla1~3 should not be used in the spreadsheet, i.e. “antenna gain correction factor” is </w:t>
      </w:r>
      <w:proofErr w:type="gramStart"/>
      <w:r>
        <w:t>sufficient .</w:t>
      </w:r>
      <w:proofErr w:type="gramEnd"/>
      <w:r>
        <w:t xml:space="preserve">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w:t>
      </w:r>
      <w:proofErr w:type="spellStart"/>
      <w:r>
        <w:t>HiSilicon</w:t>
      </w:r>
      <w:proofErr w:type="spellEnd"/>
      <w:r>
        <w:t>,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lastRenderedPageBreak/>
        <w:t>Based on the FL perspective above, the link budget template is updated and available from the following link:</w:t>
      </w:r>
    </w:p>
    <w:p w14:paraId="70CD8BC8" w14:textId="77777777" w:rsidR="00C35115" w:rsidRDefault="001B43D9">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proofErr w:type="spellStart"/>
            <w:r>
              <w:rPr>
                <w:rFonts w:hint="eastAsia"/>
                <w:lang w:eastAsia="zh-CN"/>
              </w:rPr>
              <w:t>rban</w:t>
            </w:r>
            <w:proofErr w:type="spellEnd"/>
            <w:r>
              <w:rPr>
                <w:rFonts w:hint="eastAsia"/>
                <w:lang w:eastAsia="zh-CN"/>
              </w:rPr>
              <w:t>/suburban: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w:t>
            </w:r>
            <w:proofErr w:type="gramStart"/>
            <w:r>
              <w:rPr>
                <w:rFonts w:hint="eastAsia"/>
                <w:lang w:val="en-US" w:eastAsia="zh-CN"/>
              </w:rPr>
              <w:t>to keep</w:t>
            </w:r>
            <w:proofErr w:type="gramEnd"/>
            <w:r>
              <w:rPr>
                <w:rFonts w:hint="eastAsia"/>
                <w:lang w:val="en-US" w:eastAsia="zh-CN"/>
              </w:rPr>
              <w:t xml:space="preserve">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 xml:space="preserve">We are fine to remove [4bits (3 bits A/N + </w:t>
            </w:r>
            <w:proofErr w:type="gramStart"/>
            <w:r>
              <w:rPr>
                <w:rFonts w:hint="eastAsia"/>
                <w:lang w:val="en-US" w:eastAsia="zh-CN"/>
              </w:rPr>
              <w:t>1 bit</w:t>
            </w:r>
            <w:proofErr w:type="gramEnd"/>
            <w:r>
              <w:rPr>
                <w:rFonts w:hint="eastAsia"/>
                <w:lang w:val="en-US" w:eastAsia="zh-CN"/>
              </w:rPr>
              <w:t xml:space="preserve">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w:t>
            </w:r>
            <w:proofErr w:type="spellStart"/>
            <w:r>
              <w:rPr>
                <w:rFonts w:eastAsia="SimSun" w:hint="eastAsia"/>
                <w:lang w:val="en-US" w:eastAsia="zh-CN"/>
              </w:rPr>
              <w:t>eMBB</w:t>
            </w:r>
            <w:proofErr w:type="spellEnd"/>
            <w:r>
              <w:rPr>
                <w:rFonts w:eastAsia="SimSun" w:hint="eastAsia"/>
                <w:lang w:val="en-US" w:eastAsia="zh-CN"/>
              </w:rPr>
              <w:t xml:space="preserve">. </w:t>
            </w:r>
          </w:p>
          <w:p w14:paraId="4326D66B" w14:textId="77777777" w:rsidR="00C35115" w:rsidRDefault="00BB7EF1">
            <w:pPr>
              <w:numPr>
                <w:ilvl w:val="0"/>
                <w:numId w:val="21"/>
              </w:numPr>
              <w:rPr>
                <w:lang w:val="en-US" w:eastAsia="zh-CN"/>
              </w:rPr>
            </w:pPr>
            <w:r>
              <w:rPr>
                <w:rFonts w:hint="eastAsia"/>
                <w:lang w:val="en-US" w:eastAsia="zh-CN"/>
              </w:rPr>
              <w:t xml:space="preserve">We find it is very unfortunate that we missed one channel for evaluation, i.e., PUCCH with HARQ-ACK for Msg4. We </w:t>
            </w:r>
            <w:proofErr w:type="gramStart"/>
            <w:r>
              <w:rPr>
                <w:rFonts w:hint="eastAsia"/>
                <w:lang w:val="en-US" w:eastAsia="zh-CN"/>
              </w:rPr>
              <w:t>didn</w:t>
            </w:r>
            <w:r>
              <w:rPr>
                <w:lang w:val="en-US" w:eastAsia="zh-CN"/>
              </w:rPr>
              <w:t>’</w:t>
            </w:r>
            <w:r>
              <w:rPr>
                <w:rFonts w:hint="eastAsia"/>
                <w:lang w:val="en-US" w:eastAsia="zh-CN"/>
              </w:rPr>
              <w:t>t</w:t>
            </w:r>
            <w:proofErr w:type="gramEnd"/>
            <w:r>
              <w:rPr>
                <w:rFonts w:hint="eastAsia"/>
                <w:lang w:val="en-US" w:eastAsia="zh-CN"/>
              </w:rPr>
              <w:t xml:space="preserve"> have explicit agreed assumptions on this. In our view, the agreed assumptions for normal PUCCH could be largely reused, and the only difference is </w:t>
            </w:r>
            <w:proofErr w:type="gramStart"/>
            <w:r>
              <w:rPr>
                <w:rFonts w:hint="eastAsia"/>
                <w:lang w:val="en-US" w:eastAsia="zh-CN"/>
              </w:rPr>
              <w:t>1 bit</w:t>
            </w:r>
            <w:proofErr w:type="gramEnd"/>
            <w:r>
              <w:rPr>
                <w:rFonts w:hint="eastAsia"/>
                <w:lang w:val="en-US" w:eastAsia="zh-CN"/>
              </w:rPr>
              <w:t xml:space="preserve"> UCI and no PUCCH repetition should be assumed for HARQ-ACK for Msg4. We suggest </w:t>
            </w:r>
            <w:proofErr w:type="gramStart"/>
            <w:r>
              <w:rPr>
                <w:rFonts w:hint="eastAsia"/>
                <w:lang w:val="en-US" w:eastAsia="zh-CN"/>
              </w:rPr>
              <w:t>to conclude</w:t>
            </w:r>
            <w:proofErr w:type="gramEnd"/>
            <w:r>
              <w:rPr>
                <w:rFonts w:hint="eastAsia"/>
                <w:lang w:val="en-US" w:eastAsia="zh-CN"/>
              </w:rPr>
              <w:t xml:space="preserv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proofErr w:type="spellStart"/>
            <w:r>
              <w:rPr>
                <w:rFonts w:eastAsia="DengXian"/>
                <w:i/>
                <w:iCs/>
                <w:kern w:val="2"/>
                <w:lang w:eastAsia="zh-CN"/>
              </w:rPr>
              <w:t>euse</w:t>
            </w:r>
            <w:proofErr w:type="spellEnd"/>
            <w:r>
              <w:rPr>
                <w:rFonts w:eastAsia="DengXian"/>
                <w:i/>
                <w:iCs/>
                <w:kern w:val="2"/>
                <w:lang w:eastAsia="zh-CN"/>
              </w:rPr>
              <w:t xml:space="preserv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t>Nokia/NSB</w:t>
            </w:r>
          </w:p>
        </w:tc>
        <w:tc>
          <w:tcPr>
            <w:tcW w:w="7786" w:type="dxa"/>
          </w:tcPr>
          <w:p w14:paraId="5DA3CD7A" w14:textId="77777777" w:rsidR="00C35115" w:rsidRDefault="00BB7EF1">
            <w:r>
              <w:t xml:space="preserve">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w:t>
            </w:r>
            <w:r>
              <w:lastRenderedPageBreak/>
              <w:t>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w:t>
            </w:r>
            <w:proofErr w:type="gramStart"/>
            <w:r>
              <w:t>doesn’t</w:t>
            </w:r>
            <w:proofErr w:type="gramEnd"/>
            <w:r>
              <w:t xml:space="preserve">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ListBullet"/>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ListBullet"/>
              <w:ind w:left="480" w:hanging="480"/>
              <w:rPr>
                <w:rFonts w:eastAsia="SimSun"/>
                <w:lang w:eastAsia="zh-CN"/>
              </w:rPr>
            </w:pPr>
            <w:r>
              <w:rPr>
                <w:rFonts w:eastAsia="SimSun"/>
                <w:lang w:eastAsia="zh-CN"/>
              </w:rPr>
              <w:lastRenderedPageBreak/>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w:t>
            </w:r>
            <w:proofErr w:type="spellStart"/>
            <w:r>
              <w:rPr>
                <w:rFonts w:eastAsia="SimSun"/>
                <w:lang w:eastAsia="zh-CN"/>
              </w:rPr>
              <w:t>RedCap</w:t>
            </w:r>
            <w:proofErr w:type="spellEnd"/>
            <w:r>
              <w:rPr>
                <w:rFonts w:eastAsia="SimSun"/>
                <w:lang w:eastAsia="zh-CN"/>
              </w:rPr>
              <w:t xml:space="preserve"> coverage recovery study and it is more appropriate to make it more concise. </w:t>
            </w:r>
          </w:p>
          <w:p w14:paraId="78C004E0" w14:textId="77777777" w:rsidR="00C35115" w:rsidRDefault="00BB7EF1">
            <w:pPr>
              <w:pStyle w:val="ListBullet"/>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w:t>
            </w:r>
            <w:proofErr w:type="gramStart"/>
            <w:r>
              <w:rPr>
                <w:rFonts w:eastAsia="SimSun"/>
                <w:lang w:eastAsia="zh-CN"/>
              </w:rPr>
              <w:t>Also</w:t>
            </w:r>
            <w:proofErr w:type="gramEnd"/>
            <w:r>
              <w:rPr>
                <w:rFonts w:eastAsia="SimSun"/>
                <w:lang w:eastAsia="zh-CN"/>
              </w:rPr>
              <w:t xml:space="preserve">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SimSun"/>
                <w:lang w:eastAsia="zh-CN"/>
              </w:rPr>
            </w:pPr>
          </w:p>
          <w:p w14:paraId="2A82A8BB" w14:textId="77777777" w:rsidR="00C35115" w:rsidRDefault="00BB7EF1">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ListBullet"/>
              <w:numPr>
                <w:ilvl w:val="0"/>
                <w:numId w:val="0"/>
              </w:numPr>
              <w:rPr>
                <w:rFonts w:eastAsia="SimSun"/>
                <w:lang w:eastAsia="zh-CN"/>
              </w:rPr>
            </w:pPr>
          </w:p>
          <w:p w14:paraId="365A0405" w14:textId="77777777" w:rsidR="00C35115" w:rsidRDefault="00BB7EF1">
            <w:pPr>
              <w:pStyle w:val="ListBullet"/>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ListBullet"/>
              <w:numPr>
                <w:ilvl w:val="0"/>
                <w:numId w:val="0"/>
              </w:numPr>
              <w:rPr>
                <w:rFonts w:eastAsia="SimSun"/>
                <w:lang w:eastAsia="zh-CN"/>
              </w:rPr>
            </w:pPr>
          </w:p>
          <w:p w14:paraId="1014C73A" w14:textId="77777777" w:rsidR="00C35115" w:rsidRDefault="00BB7EF1">
            <w:pPr>
              <w:pStyle w:val="ListBullet"/>
              <w:ind w:left="480" w:hanging="480"/>
              <w:rPr>
                <w:rFonts w:eastAsia="SimSun"/>
                <w:lang w:eastAsia="zh-CN"/>
              </w:rPr>
            </w:pPr>
            <w:r>
              <w:rPr>
                <w:rFonts w:eastAsia="SimSun"/>
                <w:lang w:eastAsia="zh-CN"/>
              </w:rPr>
              <w:t>One additional comment on row "(6) Control channel power boosting gain (dB) or data channel power loss due to control boosting (dB)": for data channel power loss due to control boosting, our understanding is that 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ListBullet"/>
              <w:ind w:left="480" w:hanging="480"/>
              <w:rPr>
                <w:rFonts w:eastAsia="SimSun"/>
                <w:lang w:eastAsia="zh-CN"/>
              </w:rPr>
            </w:pPr>
            <w:r>
              <w:rPr>
                <w:rFonts w:eastAsia="SimSun"/>
                <w:lang w:eastAsia="zh-CN"/>
              </w:rPr>
              <w:lastRenderedPageBreak/>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 xml:space="preserve">For row (6), we also support Intel’s argument removing row (6). If we </w:t>
            </w:r>
            <w:proofErr w:type="gramStart"/>
            <w:r>
              <w:rPr>
                <w:rFonts w:eastAsiaTheme="minorEastAsia"/>
              </w:rPr>
              <w:t>don’t</w:t>
            </w:r>
            <w:proofErr w:type="gramEnd"/>
            <w:r>
              <w:rPr>
                <w:rFonts w:eastAsiaTheme="minorEastAsia"/>
              </w:rPr>
              <w:t xml:space="preserve">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 xml:space="preserve">Regarding (2): Transmit chains is the appropriate terminology to use. Transmit </w:t>
            </w:r>
            <w:proofErr w:type="spellStart"/>
            <w:r>
              <w:t>TxRUs</w:t>
            </w:r>
            <w:proofErr w:type="spellEnd"/>
            <w:r>
              <w:t xml:space="preserve"> expands as transmit transmission-reception units --- which </w:t>
            </w:r>
            <w:proofErr w:type="gramStart"/>
            <w:r>
              <w:t>doesn’t</w:t>
            </w:r>
            <w:proofErr w:type="gramEnd"/>
            <w:r>
              <w:t xml:space="preserve"> seem right. Please consider describing this as “Number of transmit chains”. While this row many </w:t>
            </w:r>
            <w:proofErr w:type="gramStart"/>
            <w:r>
              <w:t>not be</w:t>
            </w:r>
            <w:proofErr w:type="gramEnd"/>
            <w:r>
              <w:t xml:space="preserve"> necessary for UE, we suggest to include it for clarity. Let us not say that this row is to be void for uplink.</w:t>
            </w:r>
          </w:p>
          <w:p w14:paraId="29D7E71F" w14:textId="77777777" w:rsidR="00C35115" w:rsidRDefault="00BB7EF1">
            <w:pPr>
              <w:pStyle w:val="ListParagraph"/>
              <w:numPr>
                <w:ilvl w:val="0"/>
                <w:numId w:val="23"/>
              </w:numPr>
            </w:pPr>
            <w:r>
              <w:t xml:space="preserve">Regarding (2a): Can we </w:t>
            </w:r>
            <w:proofErr w:type="gramStart"/>
            <w:r>
              <w:t>say</w:t>
            </w:r>
            <w:proofErr w:type="gramEnd"/>
            <w:r>
              <w:t xml:space="preserve">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 xml:space="preserve">For better clarity, can we express MIL using the equivalent formula: </w:t>
            </w:r>
            <w:proofErr w:type="gramStart"/>
            <w:r>
              <w:t>MIL  =</w:t>
            </w:r>
            <w:proofErr w:type="gramEnd"/>
            <w:r>
              <w:t xml:space="preserve">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w:t>
            </w:r>
            <w:proofErr w:type="gramStart"/>
            <w:r>
              <w:t>don’t</w:t>
            </w:r>
            <w:proofErr w:type="gramEnd"/>
            <w:r>
              <w:t xml:space="preserve"> see any pressing need for further agreements. We prefer to keep the purpose of this discussion limited to finalizing the template. 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t>China</w:t>
            </w:r>
            <w:r>
              <w:rPr>
                <w:rFonts w:eastAsia="SimSun"/>
                <w:lang w:eastAsia="zh-CN"/>
              </w:rPr>
              <w:t xml:space="preserve"> Telecom</w:t>
            </w:r>
          </w:p>
        </w:tc>
        <w:tc>
          <w:tcPr>
            <w:tcW w:w="7786" w:type="dxa"/>
          </w:tcPr>
          <w:p w14:paraId="4619DC85"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w:t>
            </w:r>
            <w:r>
              <w:rPr>
                <w:rFonts w:eastAsia="SimSun"/>
                <w:lang w:eastAsia="zh-CN"/>
              </w:rPr>
              <w:lastRenderedPageBreak/>
              <w:t xml:space="preserve">cases for link budget template, like scenario. Thus, we suggest </w:t>
            </w:r>
            <w:proofErr w:type="gramStart"/>
            <w:r>
              <w:rPr>
                <w:rFonts w:eastAsia="SimSun"/>
                <w:lang w:eastAsia="zh-CN"/>
              </w:rPr>
              <w:t>to delete</w:t>
            </w:r>
            <w:proofErr w:type="gramEnd"/>
            <w:r>
              <w:rPr>
                <w:rFonts w:eastAsia="SimSun"/>
                <w:lang w:eastAsia="zh-CN"/>
              </w:rPr>
              <w:t xml:space="preserve"> row B18-B40 to keep the readability. </w:t>
            </w:r>
          </w:p>
          <w:p w14:paraId="692DA6BE" w14:textId="77777777" w:rsidR="00C35115" w:rsidRDefault="00C35115">
            <w:pPr>
              <w:pStyle w:val="ListBullet"/>
              <w:numPr>
                <w:ilvl w:val="0"/>
                <w:numId w:val="0"/>
              </w:numPr>
              <w:rPr>
                <w:rFonts w:eastAsia="SimSun"/>
                <w:lang w:eastAsia="zh-CN"/>
              </w:rPr>
            </w:pPr>
          </w:p>
          <w:p w14:paraId="1762AB5B" w14:textId="77777777" w:rsidR="00C35115" w:rsidRDefault="00BB7EF1">
            <w:pPr>
              <w:pStyle w:val="ListBullet"/>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ListBullet"/>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ListBullet"/>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ListBullet"/>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ListBullet"/>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ListBullet"/>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ListBullet"/>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ListBullet"/>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lastRenderedPageBreak/>
              <w:t>Ericsson</w:t>
            </w:r>
          </w:p>
        </w:tc>
        <w:tc>
          <w:tcPr>
            <w:tcW w:w="7786" w:type="dxa"/>
          </w:tcPr>
          <w:p w14:paraId="7A662756" w14:textId="77777777" w:rsidR="00C35115" w:rsidRDefault="00BB7EF1">
            <w:pPr>
              <w:pStyle w:val="ListBullet"/>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ListBullet"/>
              <w:numPr>
                <w:ilvl w:val="0"/>
                <w:numId w:val="22"/>
              </w:numPr>
              <w:rPr>
                <w:rFonts w:eastAsia="SimSun"/>
                <w:lang w:eastAsia="zh-CN"/>
              </w:rPr>
            </w:pPr>
            <w:r>
              <w:rPr>
                <w:rFonts w:eastAsia="SimSun"/>
                <w:lang w:eastAsia="zh-CN"/>
              </w:rPr>
              <w:t>Issue (3-1): In my understanding ‘</w:t>
            </w:r>
            <w:proofErr w:type="spellStart"/>
            <w:r>
              <w:rPr>
                <w:rFonts w:eastAsia="SimSun"/>
                <w:lang w:eastAsia="zh-CN"/>
              </w:rPr>
              <w:t>TxRU</w:t>
            </w:r>
            <w:proofErr w:type="spellEnd"/>
            <w:r>
              <w:rPr>
                <w:rFonts w:eastAsia="SimSun"/>
                <w:lang w:eastAsia="zh-CN"/>
              </w:rPr>
              <w:t xml:space="preserve">’ was introduced for AAS systems, e.g. in Rel-12 37.840, as ‘transceiver unit’.  A non-AAS gNB e.g. at 700 MHz can have 2 or 4 Rx, and 2 or 4 Tx, and it is historically common for </w:t>
            </w:r>
            <w:proofErr w:type="spellStart"/>
            <w:r>
              <w:rPr>
                <w:rFonts w:eastAsia="SimSun"/>
                <w:lang w:eastAsia="zh-CN"/>
              </w:rPr>
              <w:t>gNBs</w:t>
            </w:r>
            <w:proofErr w:type="spellEnd"/>
            <w:r>
              <w:rPr>
                <w:rFonts w:eastAsia="SimSun"/>
                <w:lang w:eastAsia="zh-CN"/>
              </w:rPr>
              <w:t xml:space="preserve"> to have more receive than transmit chains.  So ‘transceiver unit’ for many non-AAS </w:t>
            </w:r>
            <w:proofErr w:type="spellStart"/>
            <w:r>
              <w:rPr>
                <w:rFonts w:eastAsia="SimSun"/>
                <w:lang w:eastAsia="zh-CN"/>
              </w:rPr>
              <w:t>gNBs</w:t>
            </w:r>
            <w:proofErr w:type="spellEnd"/>
            <w:r>
              <w:rPr>
                <w:rFonts w:eastAsia="SimSun"/>
                <w:lang w:eastAsia="zh-CN"/>
              </w:rPr>
              <w:t xml:space="preserve"> does not make sense.  Also, UEs even more commonly have more receive than transmit antennas, and so ‘</w:t>
            </w:r>
            <w:proofErr w:type="spellStart"/>
            <w:r>
              <w:rPr>
                <w:rFonts w:eastAsia="SimSun"/>
                <w:lang w:eastAsia="zh-CN"/>
              </w:rPr>
              <w:t>TxRU</w:t>
            </w:r>
            <w:proofErr w:type="spellEnd"/>
            <w:r>
              <w:rPr>
                <w:rFonts w:eastAsia="SimSun"/>
                <w:lang w:eastAsia="zh-CN"/>
              </w:rPr>
              <w:t xml:space="preserve">’ does not make sense for them.  Furthermore, ‘transmit </w:t>
            </w:r>
            <w:proofErr w:type="spellStart"/>
            <w:r>
              <w:rPr>
                <w:rFonts w:eastAsia="SimSun"/>
                <w:lang w:eastAsia="zh-CN"/>
              </w:rPr>
              <w:t>TxRU</w:t>
            </w:r>
            <w:proofErr w:type="spellEnd"/>
            <w:r>
              <w:rPr>
                <w:rFonts w:eastAsia="SimSun"/>
                <w:lang w:eastAsia="zh-CN"/>
              </w:rPr>
              <w:t xml:space="preserve">’ = ‘transmit transceiver unit’ is not logically consistent, since this refers to only the transmit chains, whereas a </w:t>
            </w:r>
            <w:proofErr w:type="spellStart"/>
            <w:r>
              <w:rPr>
                <w:rFonts w:eastAsia="SimSun"/>
                <w:lang w:eastAsia="zh-CN"/>
              </w:rPr>
              <w:t>TxRU</w:t>
            </w:r>
            <w:proofErr w:type="spellEnd"/>
            <w:r>
              <w:rPr>
                <w:rFonts w:eastAsia="SimSun"/>
                <w:lang w:eastAsia="zh-CN"/>
              </w:rPr>
              <w:t xml:space="preserve">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SimSun"/>
                <w:lang w:eastAsia="zh-CN"/>
              </w:rPr>
            </w:pPr>
            <w:r>
              <w:rPr>
                <w:rFonts w:eastAsia="SimSun"/>
                <w:lang w:eastAsia="zh-CN"/>
              </w:rPr>
              <w:lastRenderedPageBreak/>
              <w:t>transmit antenna elements in (1)</w:t>
            </w:r>
          </w:p>
          <w:p w14:paraId="144A73F3" w14:textId="77777777" w:rsidR="00C35115" w:rsidRDefault="00BB7EF1">
            <w:pPr>
              <w:pStyle w:val="ListBullet"/>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ListBullet"/>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ListBullet"/>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ListBullet"/>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ListBullet"/>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ListBullet"/>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ListBullet"/>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ListBullet"/>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ListBullet"/>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SimSun"/>
                <w:lang w:eastAsia="zh-CN"/>
              </w:rPr>
            </w:pPr>
            <w:r>
              <w:rPr>
                <w:rFonts w:eastAsia="SimSun"/>
                <w:lang w:eastAsia="zh-CN"/>
              </w:rPr>
              <w:t xml:space="preserve">We think 4bits (3 bits A/N + </w:t>
            </w:r>
            <w:proofErr w:type="gramStart"/>
            <w:r>
              <w:rPr>
                <w:rFonts w:eastAsia="SimSun"/>
                <w:lang w:eastAsia="zh-CN"/>
              </w:rPr>
              <w:t>1 bit</w:t>
            </w:r>
            <w:proofErr w:type="gramEnd"/>
            <w:r>
              <w:rPr>
                <w:rFonts w:eastAsia="SimSun"/>
                <w:lang w:eastAsia="zh-CN"/>
              </w:rPr>
              <w:t xml:space="preserve">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SimSun"/>
                <w:lang w:eastAsia="zh-CN"/>
              </w:rPr>
            </w:pPr>
            <w:proofErr w:type="spellStart"/>
            <w:r>
              <w:rPr>
                <w:rFonts w:eastAsia="SimSun"/>
                <w:lang w:eastAsia="zh-CN"/>
              </w:rPr>
              <w:t>TxD</w:t>
            </w:r>
            <w:proofErr w:type="spellEnd"/>
            <w:r>
              <w:rPr>
                <w:rFonts w:eastAsia="SimSun"/>
                <w:lang w:eastAsia="zh-CN"/>
              </w:rPr>
              <w:t xml:space="preserve"> should be applicable to downlink in general, including Msg2 &amp; Msg4.  If gNB can use it for PDCCH, why would it not be able to use it for Msg2 or Msg4?</w:t>
            </w:r>
          </w:p>
          <w:p w14:paraId="17B4AAE8" w14:textId="77777777" w:rsidR="00C35115" w:rsidRDefault="00BB7EF1">
            <w:pPr>
              <w:pStyle w:val="ListBullet"/>
              <w:numPr>
                <w:ilvl w:val="0"/>
                <w:numId w:val="22"/>
              </w:numPr>
              <w:rPr>
                <w:rFonts w:eastAsia="SimSun"/>
                <w:lang w:eastAsia="zh-CN"/>
              </w:rPr>
            </w:pPr>
            <w:proofErr w:type="gramStart"/>
            <w:r>
              <w:rPr>
                <w:rFonts w:eastAsia="SimSun"/>
                <w:lang w:eastAsia="zh-CN"/>
              </w:rPr>
              <w:t>Similar to</w:t>
            </w:r>
            <w:proofErr w:type="gramEnd"/>
            <w:r>
              <w:rPr>
                <w:rFonts w:eastAsia="SimSun"/>
                <w:lang w:eastAsia="zh-CN"/>
              </w:rPr>
              <w:t xml:space="preserve"> ZTE, having an optional 400 MHz system bandwidth makes sense to us for FR2, since this bandwidth is more reflective of 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 xml:space="preserve">Huawei, </w:t>
            </w:r>
            <w:proofErr w:type="spellStart"/>
            <w:r>
              <w:rPr>
                <w:rFonts w:eastAsiaTheme="minorEastAsia" w:hint="eastAsia"/>
              </w:rPr>
              <w:t>Hisilicon</w:t>
            </w:r>
            <w:proofErr w:type="spellEnd"/>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SimSun"/>
                <w:lang w:eastAsia="zh-CN"/>
              </w:rPr>
              <w:lastRenderedPageBreak/>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w:t>
            </w:r>
            <w:proofErr w:type="gramStart"/>
            <w:r>
              <w:rPr>
                <w:rFonts w:eastAsia="SimSun"/>
                <w:lang w:eastAsia="zh-CN"/>
              </w:rPr>
              <w:t>)</w:t>
            </w:r>
            <w:proofErr w:type="gramEnd"/>
            <w:r>
              <w:rPr>
                <w:rFonts w:eastAsia="SimSun"/>
                <w:lang w:eastAsia="zh-CN"/>
              </w:rPr>
              <w:t xml:space="preserve">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SimSun"/>
                <w:lang w:eastAsia="zh-CN"/>
              </w:rPr>
            </w:pPr>
            <w:r>
              <w:rPr>
                <w:rFonts w:eastAsia="SimSun" w:hint="eastAsia"/>
                <w:lang w:eastAsia="zh-CN"/>
              </w:rPr>
              <w:t>F</w:t>
            </w:r>
            <w:r>
              <w:rPr>
                <w:rFonts w:eastAsia="SimSun"/>
                <w:lang w:eastAsia="zh-CN"/>
              </w:rPr>
              <w:t xml:space="preserve">or issue (2-7), we suggest </w:t>
            </w:r>
            <w:proofErr w:type="gramStart"/>
            <w:r>
              <w:rPr>
                <w:rFonts w:eastAsia="SimSun"/>
                <w:lang w:eastAsia="zh-CN"/>
              </w:rPr>
              <w:t>to keep</w:t>
            </w:r>
            <w:proofErr w:type="gramEnd"/>
            <w:r>
              <w:rPr>
                <w:rFonts w:eastAsia="SimSun"/>
                <w:lang w:eastAsia="zh-CN"/>
              </w:rPr>
              <w:t xml:space="preserve">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lastRenderedPageBreak/>
              <w:t>CMCC</w:t>
            </w:r>
          </w:p>
        </w:tc>
        <w:tc>
          <w:tcPr>
            <w:tcW w:w="7786" w:type="dxa"/>
          </w:tcPr>
          <w:p w14:paraId="66E961F3" w14:textId="77777777" w:rsidR="00C35115" w:rsidRDefault="00BB7EF1">
            <w:pPr>
              <w:pStyle w:val="ListBullet"/>
              <w:numPr>
                <w:ilvl w:val="0"/>
                <w:numId w:val="0"/>
              </w:numPr>
              <w:rPr>
                <w:b/>
                <w:bCs/>
              </w:rPr>
            </w:pPr>
            <w:r>
              <w:rPr>
                <w:b/>
                <w:bCs/>
              </w:rPr>
              <w:t xml:space="preserve">Issue (2-2): </w:t>
            </w:r>
            <w:proofErr w:type="gramStart"/>
            <w:r>
              <w:rPr>
                <w:bCs/>
              </w:rPr>
              <w:t>Generally</w:t>
            </w:r>
            <w:proofErr w:type="gramEnd"/>
            <w:r>
              <w:rPr>
                <w:bCs/>
              </w:rPr>
              <w:t xml:space="preserve">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 xml:space="preserve">we suggest </w:t>
            </w:r>
            <w:proofErr w:type="gramStart"/>
            <w:r>
              <w:rPr>
                <w:rFonts w:eastAsia="Malgun Gothic"/>
                <w:lang w:eastAsia="ko-KR"/>
              </w:rPr>
              <w:t>to keep</w:t>
            </w:r>
            <w:proofErr w:type="gramEnd"/>
            <w:r>
              <w:rPr>
                <w:rFonts w:eastAsia="Malgun Gothic"/>
                <w:lang w:eastAsia="ko-KR"/>
              </w:rPr>
              <w:t xml:space="preserve">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w:t>
            </w:r>
            <w:proofErr w:type="gramStart"/>
            <w:r>
              <w:rPr>
                <w:rFonts w:eastAsia="Malgun Gothic"/>
                <w:lang w:eastAsia="ko-KR"/>
              </w:rPr>
              <w:t>derived</w:t>
            </w:r>
            <w:proofErr w:type="gramEnd"/>
            <w:r>
              <w:rPr>
                <w:rFonts w:eastAsia="Malgun Gothic"/>
                <w:lang w:eastAsia="ko-KR"/>
              </w:rPr>
              <w:t xml:space="preserve">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proofErr w:type="gramStart"/>
            <w:r>
              <w:rPr>
                <w:rFonts w:eastAsia="SimSun"/>
                <w:sz w:val="22"/>
                <w:szCs w:val="22"/>
                <w:lang w:eastAsia="zh-CN"/>
              </w:rPr>
              <w:t>“</w:t>
            </w:r>
            <w:r>
              <w:rPr>
                <w:color w:val="000000"/>
                <w:sz w:val="22"/>
                <w:szCs w:val="22"/>
              </w:rPr>
              <w:t xml:space="preserve"> (</w:t>
            </w:r>
            <w:proofErr w:type="gramEnd"/>
            <w:r>
              <w:rPr>
                <w:color w:val="000000"/>
                <w:sz w:val="22"/>
                <w:szCs w:val="22"/>
              </w:rPr>
              <w:t>24) Lognormal shadow fading std deviation (dB)</w:t>
            </w:r>
          </w:p>
          <w:p w14:paraId="47591423" w14:textId="77777777" w:rsidR="00C35115" w:rsidRDefault="00BB7EF1">
            <w:pPr>
              <w:pStyle w:val="ListParagraph"/>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lastRenderedPageBreak/>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ko-KR"/>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ListBullet"/>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capture the transmit power or EIRP discussion into </w:t>
            </w:r>
            <w:proofErr w:type="gramStart"/>
            <w:r>
              <w:rPr>
                <w:rFonts w:eastAsia="SimSun"/>
                <w:szCs w:val="24"/>
                <w:lang w:eastAsia="zh-CN"/>
              </w:rPr>
              <w:t>the some</w:t>
            </w:r>
            <w:proofErr w:type="gramEnd"/>
            <w:r>
              <w:rPr>
                <w:rFonts w:eastAsia="SimSun"/>
                <w:szCs w:val="24"/>
                <w:lang w:eastAsia="zh-CN"/>
              </w:rPr>
              <w:t xml:space="preserv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lastRenderedPageBreak/>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w:t>
      </w:r>
      <w:proofErr w:type="gramStart"/>
      <w:r>
        <w:t>NSB :</w:t>
      </w:r>
      <w:proofErr w:type="gramEnd"/>
      <w:r>
        <w:t xml:space="preserve">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w:t>
      </w:r>
      <w:proofErr w:type="gramStart"/>
      <w:r>
        <w:t xml:space="preserve">that </w:t>
      </w:r>
      <w:r>
        <w:rPr>
          <w:rFonts w:eastAsia="SimSun"/>
          <w:lang w:eastAsia="zh-CN"/>
        </w:rPr>
        <w:t xml:space="preserve"> (</w:t>
      </w:r>
      <w:proofErr w:type="gramEnd"/>
      <w:r>
        <w:rPr>
          <w:rFonts w:eastAsia="SimSun"/>
          <w:lang w:eastAsia="zh-CN"/>
        </w:rPr>
        <w:t>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w:t>
      </w:r>
      <w:proofErr w:type="gramStart"/>
      <w:r>
        <w:rPr>
          <w:b/>
          <w:u w:val="single"/>
        </w:rPr>
        <w:t>a)(</w:t>
      </w:r>
      <w:proofErr w:type="gramEnd"/>
      <w:r>
        <w:rPr>
          <w:b/>
          <w:u w:val="single"/>
        </w:rPr>
        <w:t>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(2-1) </w:t>
      </w:r>
      <w:proofErr w:type="spellStart"/>
      <w:r>
        <w:rPr>
          <w:b/>
          <w:u w:val="single"/>
        </w:rPr>
        <w:t>Clean up</w:t>
      </w:r>
      <w:proofErr w:type="spellEnd"/>
      <w:r>
        <w:rPr>
          <w:b/>
          <w:u w:val="single"/>
        </w:rPr>
        <w:t xml:space="preserve">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lastRenderedPageBreak/>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w:t>
      </w:r>
      <w:proofErr w:type="spellStart"/>
      <w:r>
        <w:t>included</w:t>
      </w:r>
      <w:proofErr w:type="spellEnd"/>
      <w:r>
        <w:t xml:space="preserve"> in the list because it is captured in </w:t>
      </w:r>
      <w:r>
        <w:rPr>
          <w:rFonts w:eastAsia="SimSun"/>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xml:space="preserve">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w:t>
      </w:r>
      <w:proofErr w:type="gramStart"/>
      <w:r>
        <w:rPr>
          <w:highlight w:val="cyan"/>
        </w:rPr>
        <w:t>input</w:t>
      </w:r>
      <w:proofErr w:type="gramEnd"/>
      <w:r>
        <w:rPr>
          <w:highlight w:val="cyan"/>
        </w:rPr>
        <w:t xml:space="preserve">,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w:t>
      </w:r>
      <w:proofErr w:type="spellStart"/>
      <w:r>
        <w:rPr>
          <w:highlight w:val="cyan"/>
        </w:rPr>
        <w:t>tanking</w:t>
      </w:r>
      <w:proofErr w:type="spellEnd"/>
      <w:r>
        <w:rPr>
          <w:highlight w:val="cyan"/>
        </w:rPr>
        <w:t xml:space="preserve">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w:t>
      </w:r>
      <w:r>
        <w:lastRenderedPageBreak/>
        <w:t xml:space="preserve">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w:t>
      </w:r>
      <w:proofErr w:type="gramStart"/>
      <w:r>
        <w:rPr>
          <w:b/>
          <w:u w:val="single"/>
        </w:rPr>
        <w:t>a)(</w:t>
      </w:r>
      <w:proofErr w:type="gramEnd"/>
      <w:r>
        <w:rPr>
          <w:b/>
          <w:u w:val="single"/>
        </w:rPr>
        <w:t>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w:t>
      </w:r>
      <w:proofErr w:type="gramStart"/>
      <w:r>
        <w:t>by  (</w:t>
      </w:r>
      <w:proofErr w:type="gramEnd"/>
      <w:r>
        <w:t xml:space="preserve">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Huawei/</w:t>
      </w:r>
      <w:proofErr w:type="spellStart"/>
      <w:r>
        <w:rPr>
          <w:lang w:val="en-US"/>
        </w:rPr>
        <w:t>HiSilicon</w:t>
      </w:r>
      <w:proofErr w:type="spellEnd"/>
      <w:r>
        <w:rPr>
          <w:lang w:val="en-US"/>
        </w:rPr>
        <w:t xml:space="preserve">: </w:t>
      </w:r>
      <w:proofErr w:type="gramStart"/>
      <w:r>
        <w:rPr>
          <w:rFonts w:eastAsia="SimSun"/>
          <w:lang w:eastAsia="zh-CN"/>
        </w:rPr>
        <w:t>don’t</w:t>
      </w:r>
      <w:proofErr w:type="gramEnd"/>
      <w:r>
        <w:rPr>
          <w:rFonts w:eastAsia="SimSun"/>
          <w:lang w:eastAsia="zh-CN"/>
        </w:rPr>
        <w:t xml:space="preserve">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lastRenderedPageBreak/>
        <w:t xml:space="preserve">(2-6) Cell area </w:t>
      </w:r>
      <w:proofErr w:type="gramStart"/>
      <w:r>
        <w:rPr>
          <w:rFonts w:eastAsia="Malgun Gothic"/>
          <w:b/>
          <w:u w:val="single"/>
          <w:lang w:eastAsia="ko-KR"/>
        </w:rPr>
        <w:t>reliability(</w:t>
      </w:r>
      <w:proofErr w:type="gramEnd"/>
      <w:r>
        <w:rPr>
          <w:rFonts w:eastAsia="Malgun Gothic"/>
          <w:b/>
          <w:u w:val="single"/>
          <w:lang w:eastAsia="ko-KR"/>
        </w:rPr>
        <w:t xml:space="preserve">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w:t>
      </w:r>
      <w:proofErr w:type="spellStart"/>
      <w:r>
        <w:rPr>
          <w:rFonts w:eastAsia="SimSun"/>
          <w:lang w:eastAsia="zh-CN"/>
        </w:rPr>
        <w:t>HiSilicon</w:t>
      </w:r>
      <w:proofErr w:type="spellEnd"/>
      <w:r>
        <w:rPr>
          <w:rFonts w:eastAsia="SimSun"/>
          <w:lang w:eastAsia="zh-CN"/>
        </w:rPr>
        <w:t>: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 xml:space="preserve">suggest </w:t>
      </w:r>
      <w:proofErr w:type="gramStart"/>
      <w:r>
        <w:rPr>
          <w:rFonts w:eastAsia="Malgun Gothic"/>
          <w:lang w:eastAsia="ko-KR"/>
        </w:rPr>
        <w:t>to keep</w:t>
      </w:r>
      <w:proofErr w:type="gramEnd"/>
      <w:r>
        <w:rPr>
          <w:rFonts w:eastAsia="Malgun Gothic"/>
          <w:lang w:eastAsia="ko-KR"/>
        </w:rPr>
        <w:t xml:space="preserve">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w:t>
      </w:r>
      <w:proofErr w:type="gramStart"/>
      <w:r>
        <w:rPr>
          <w:rFonts w:eastAsia="MS PGothic"/>
          <w:strike/>
          <w:color w:val="0000FF"/>
          <w:sz w:val="22"/>
          <w:szCs w:val="22"/>
          <w:lang w:val="en-US"/>
        </w:rPr>
        <w:t xml:space="preserve">channel </w:t>
      </w:r>
      <w:r>
        <w:rPr>
          <w:rFonts w:eastAsia="MS PGothic"/>
          <w:color w:val="0000FF"/>
          <w:sz w:val="22"/>
          <w:szCs w:val="22"/>
          <w:lang w:val="en-US"/>
        </w:rPr>
        <w:t xml:space="preserve"> (</w:t>
      </w:r>
      <w:proofErr w:type="gramEnd"/>
      <w:r>
        <w:rPr>
          <w:rFonts w:eastAsia="MS PGothic"/>
          <w:color w:val="0000FF"/>
          <w:sz w:val="22"/>
          <w:szCs w:val="22"/>
          <w:lang w:val="en-US"/>
        </w:rPr>
        <w:t>%)</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Huawei/</w:t>
      </w:r>
      <w:proofErr w:type="spellStart"/>
      <w:r>
        <w:rPr>
          <w:rFonts w:eastAsia="SimSun"/>
          <w:lang w:eastAsia="zh-CN"/>
        </w:rPr>
        <w:t>HiSilicon</w:t>
      </w:r>
      <w:proofErr w:type="spellEnd"/>
      <w:r>
        <w:rPr>
          <w:rFonts w:eastAsia="SimSun"/>
          <w:lang w:eastAsia="zh-CN"/>
        </w:rPr>
        <w:t>: suggest to keep the maximum range for control and data channel (30</w:t>
      </w:r>
      <w:proofErr w:type="gramStart"/>
      <w:r>
        <w:rPr>
          <w:rFonts w:eastAsia="SimSun"/>
          <w:lang w:eastAsia="zh-CN"/>
        </w:rPr>
        <w:t>) .</w:t>
      </w:r>
      <w:proofErr w:type="gramEnd"/>
      <w:r>
        <w:rPr>
          <w:rFonts w:eastAsia="SimSun"/>
          <w:lang w:eastAsia="zh-CN"/>
        </w:rPr>
        <w:t xml:space="preserve"> </w:t>
      </w:r>
    </w:p>
    <w:p w14:paraId="7A506817" w14:textId="77777777" w:rsidR="00C35115" w:rsidRDefault="00BB7EF1">
      <w:pPr>
        <w:pStyle w:val="ListParagraph"/>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 xml:space="preserve">suggest </w:t>
      </w:r>
      <w:proofErr w:type="gramStart"/>
      <w:r>
        <w:rPr>
          <w:bCs/>
        </w:rPr>
        <w:t>to leave</w:t>
      </w:r>
      <w:proofErr w:type="gramEnd"/>
      <w:r>
        <w:rPr>
          <w:bCs/>
        </w:rPr>
        <w:t xml:space="preser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(3-1) Explanation of rows (</w:t>
      </w:r>
      <w:proofErr w:type="gramStart"/>
      <w:r>
        <w:rPr>
          <w:b/>
          <w:u w:val="single"/>
        </w:rPr>
        <w:t>2)(</w:t>
      </w:r>
      <w:proofErr w:type="gramEnd"/>
      <w:r>
        <w:rPr>
          <w:b/>
          <w:u w:val="single"/>
        </w:rPr>
        <w:t xml:space="preserve">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lastRenderedPageBreak/>
        <w:t xml:space="preserve">Qualcomm: for (2) Transmit chains is the appropriate terminology to use. Transmit </w:t>
      </w:r>
      <w:proofErr w:type="spellStart"/>
      <w:r>
        <w:t>TxRUs</w:t>
      </w:r>
      <w:proofErr w:type="spellEnd"/>
      <w:r>
        <w:t xml:space="preserve"> expands as transmit transmission-reception units --- which </w:t>
      </w:r>
      <w:proofErr w:type="gramStart"/>
      <w:r>
        <w:t>doesn’t</w:t>
      </w:r>
      <w:proofErr w:type="gramEnd"/>
      <w:r>
        <w:t xml:space="preserve"> seem right. Please consider describing this as “Number of transmit chains”. While this row many </w:t>
      </w:r>
      <w:proofErr w:type="gramStart"/>
      <w:r>
        <w:t>not be</w:t>
      </w:r>
      <w:proofErr w:type="gramEnd"/>
      <w:r>
        <w:t xml:space="preserv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SimSun"/>
          <w:lang w:eastAsia="zh-CN"/>
        </w:rPr>
        <w:t xml:space="preserve">for </w:t>
      </w:r>
      <w:proofErr w:type="spellStart"/>
      <w:r>
        <w:rPr>
          <w:rFonts w:eastAsia="SimSun"/>
          <w:lang w:eastAsia="zh-CN"/>
        </w:rPr>
        <w:t>gNBs</w:t>
      </w:r>
      <w:proofErr w:type="spellEnd"/>
      <w:r>
        <w:rPr>
          <w:rFonts w:eastAsia="SimSun"/>
          <w:lang w:eastAsia="zh-CN"/>
        </w:rPr>
        <w:t xml:space="preserve"> to have more receive than transmit chains.  So ‘transceiver unit’ for many non-AAS </w:t>
      </w:r>
      <w:proofErr w:type="spellStart"/>
      <w:r>
        <w:rPr>
          <w:rFonts w:eastAsia="SimSun"/>
          <w:lang w:eastAsia="zh-CN"/>
        </w:rPr>
        <w:t>gNBs</w:t>
      </w:r>
      <w:proofErr w:type="spellEnd"/>
      <w:r>
        <w:rPr>
          <w:rFonts w:eastAsia="SimSun"/>
          <w:lang w:eastAsia="zh-CN"/>
        </w:rPr>
        <w:t xml:space="preserve"> does not make sense. Also, UEs even more commonly have more receive than transmit antennas, and so ‘</w:t>
      </w:r>
      <w:proofErr w:type="spellStart"/>
      <w:r>
        <w:rPr>
          <w:rFonts w:eastAsia="SimSun"/>
          <w:lang w:eastAsia="zh-CN"/>
        </w:rPr>
        <w:t>TxRU</w:t>
      </w:r>
      <w:proofErr w:type="spellEnd"/>
      <w:r>
        <w:rPr>
          <w:rFonts w:eastAsia="SimSun"/>
          <w:lang w:eastAsia="zh-CN"/>
        </w:rPr>
        <w:t xml:space="preserve">’ does not make sense for them. ‘transmit </w:t>
      </w:r>
      <w:proofErr w:type="spellStart"/>
      <w:r>
        <w:rPr>
          <w:rFonts w:eastAsia="SimSun"/>
          <w:lang w:eastAsia="zh-CN"/>
        </w:rPr>
        <w:t>TxRU</w:t>
      </w:r>
      <w:proofErr w:type="spellEnd"/>
      <w:r>
        <w:rPr>
          <w:rFonts w:eastAsia="SimSun"/>
          <w:lang w:eastAsia="zh-CN"/>
        </w:rPr>
        <w:t>’ = ‘transmit transceiver unit’ is not logically consistent. Suggest:</w:t>
      </w:r>
    </w:p>
    <w:p w14:paraId="07D50D2C"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ListBullet"/>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ListBullet"/>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ListBullet"/>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ListBullet"/>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ListBullet"/>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transmit </w:t>
      </w:r>
      <w:proofErr w:type="spellStart"/>
      <w:r>
        <w:rPr>
          <w:rFonts w:eastAsia="SimSun"/>
          <w:highlight w:val="cyan"/>
          <w:lang w:eastAsia="zh-CN"/>
        </w:rPr>
        <w:t>TxRUs</w:t>
      </w:r>
      <w:proofErr w:type="spellEnd"/>
      <w:r>
        <w:rPr>
          <w:rFonts w:eastAsia="SimSun"/>
          <w:highlight w:val="cyan"/>
          <w:lang w:eastAsia="zh-CN"/>
        </w:rPr>
        <w:t xml:space="preserve"> in (2)</w:t>
      </w:r>
    </w:p>
    <w:p w14:paraId="2D9FDC5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receive </w:t>
      </w:r>
      <w:proofErr w:type="spellStart"/>
      <w:r>
        <w:rPr>
          <w:rFonts w:eastAsia="SimSun"/>
          <w:highlight w:val="cyan"/>
          <w:lang w:eastAsia="zh-CN"/>
        </w:rPr>
        <w:t>TxRUs</w:t>
      </w:r>
      <w:proofErr w:type="spellEnd"/>
      <w:r>
        <w:rPr>
          <w:rFonts w:eastAsia="SimSun"/>
          <w:highlight w:val="cyan"/>
          <w:lang w:eastAsia="zh-CN"/>
        </w:rPr>
        <w:t xml:space="preserve"> in (10a)</w:t>
      </w:r>
    </w:p>
    <w:p w14:paraId="1D1FDE28"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 xml:space="preserve">(Alt 3-B): update the terminology for </w:t>
      </w:r>
      <w:proofErr w:type="spellStart"/>
      <w:r>
        <w:rPr>
          <w:highlight w:val="cyan"/>
        </w:rPr>
        <w:t>TxRU</w:t>
      </w:r>
      <w:proofErr w:type="spellEnd"/>
      <w:r>
        <w:rPr>
          <w:highlight w:val="cyan"/>
        </w:rPr>
        <w:t xml:space="preserve"> and transmit/receive chain as follows:</w:t>
      </w:r>
    </w:p>
    <w:p w14:paraId="3E93B1D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lastRenderedPageBreak/>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w:t>
      </w:r>
      <w:proofErr w:type="gramStart"/>
      <w:r>
        <w:t>understanding, and</w:t>
      </w:r>
      <w:proofErr w:type="gramEnd"/>
      <w:r>
        <w:t xml:space="preserve">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Qualcomm: further clarification for (3</w:t>
      </w:r>
      <w:proofErr w:type="gramStart"/>
      <w:r>
        <w:t>a)-(</w:t>
      </w:r>
      <w:proofErr w:type="gramEnd"/>
      <w:r>
        <w:t xml:space="preserve">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w:t>
      </w:r>
      <w:proofErr w:type="gramStart"/>
      <w:r>
        <w:t>don’t</w:t>
      </w:r>
      <w:proofErr w:type="gramEnd"/>
      <w:r>
        <w:t xml:space="preserve">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ListParagraph"/>
        <w:numPr>
          <w:ilvl w:val="1"/>
          <w:numId w:val="12"/>
        </w:numPr>
      </w:pPr>
      <w:r>
        <w:t xml:space="preserve">CMCC: suggest </w:t>
      </w:r>
      <w:proofErr w:type="gramStart"/>
      <w:r>
        <w:t>to capture</w:t>
      </w:r>
      <w:proofErr w:type="gramEnd"/>
      <w:r>
        <w:t xml:space="preserv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w:t>
      </w:r>
      <w:proofErr w:type="gramStart"/>
      <w:r>
        <w:t>Also</w:t>
      </w:r>
      <w:proofErr w:type="gramEnd"/>
      <w:r>
        <w:t xml:space="preserve">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lastRenderedPageBreak/>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w:t>
      </w:r>
      <w:proofErr w:type="gramStart"/>
      <w:r>
        <w:t>Also</w:t>
      </w:r>
      <w:proofErr w:type="gramEnd"/>
      <w:r>
        <w:t xml:space="preserve">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SimSun"/>
          <w:b/>
          <w:u w:val="single"/>
          <w:lang w:eastAsia="zh-CN"/>
        </w:rPr>
        <w:t>(4-3 New) minor typos</w:t>
      </w:r>
    </w:p>
    <w:p w14:paraId="5FFD4A16" w14:textId="77777777" w:rsidR="00C35115" w:rsidRDefault="00BB7EF1">
      <w:pPr>
        <w:pStyle w:val="ListParagraph"/>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w:t>
      </w:r>
      <w:proofErr w:type="gramStart"/>
      <w:r>
        <w:t xml:space="preserve">bis)   </w:t>
      </w:r>
      <w:proofErr w:type="gramEnd"/>
      <w:r>
        <w:t>(dB)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ListParagraph"/>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ListParagraph"/>
        <w:numPr>
          <w:ilvl w:val="1"/>
          <w:numId w:val="12"/>
        </w:numPr>
      </w:pPr>
      <w:r>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w:t>
      </w:r>
      <w:proofErr w:type="gramStart"/>
      <w:r>
        <w:t>Let’s</w:t>
      </w:r>
      <w:proofErr w:type="gramEnd"/>
      <w:r>
        <w:t xml:space="preserve">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SimSun"/>
          <w:szCs w:val="24"/>
          <w:lang w:eastAsia="zh-CN"/>
        </w:rPr>
        <w:t xml:space="preserve">: propose to capture the transmit power or EIRP discussion into </w:t>
      </w:r>
      <w:proofErr w:type="gramStart"/>
      <w:r>
        <w:rPr>
          <w:rFonts w:eastAsia="SimSun"/>
          <w:szCs w:val="24"/>
          <w:lang w:eastAsia="zh-CN"/>
        </w:rPr>
        <w:t>the some</w:t>
      </w:r>
      <w:proofErr w:type="gramEnd"/>
      <w:r>
        <w:rPr>
          <w:rFonts w:eastAsia="SimSun"/>
          <w:szCs w:val="24"/>
          <w:lang w:eastAsia="zh-CN"/>
        </w:rPr>
        <w:t xml:space="preserv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lastRenderedPageBreak/>
        <w:t xml:space="preserve">Companies are invited to provide their views on the FL proposals 1, 2 and 3 as well as the FL perspective, and the latest link budget template </w:t>
      </w:r>
    </w:p>
    <w:p w14:paraId="77C3827D" w14:textId="77777777" w:rsidR="00C35115" w:rsidRDefault="001B43D9">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Regarding Proposal 3, we understand the intention of Alt 3-B, while it may cause confusions considering the terminology we used before. So, we slightly prefer Alt 3-A to align the previous agreements and the modeling figure for 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w:t>
            </w:r>
            <w:proofErr w:type="gramStart"/>
            <w:r>
              <w:rPr>
                <w:rFonts w:hint="eastAsia"/>
                <w:lang w:val="en-US" w:eastAsia="zh-CN"/>
              </w:rPr>
              <w:t>/(</w:t>
            </w:r>
            <w:proofErr w:type="gramEnd"/>
            <w:r>
              <w:rPr>
                <w:rFonts w:hint="eastAsia"/>
                <w:lang w:val="en-US" w:eastAsia="zh-CN"/>
              </w:rPr>
              <w:t>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t>H</w:t>
            </w:r>
            <w:r w:rsidRPr="003C39F7">
              <w:rPr>
                <w:lang w:val="en-US" w:eastAsia="zh-CN"/>
              </w:rPr>
              <w:t xml:space="preserve">uawei, </w:t>
            </w:r>
            <w:proofErr w:type="spellStart"/>
            <w:r w:rsidRPr="003C39F7">
              <w:rPr>
                <w:lang w:val="en-US" w:eastAsia="zh-CN"/>
              </w:rPr>
              <w:t>HiSilicon</w:t>
            </w:r>
            <w:proofErr w:type="spellEnd"/>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w:t>
            </w:r>
            <w:proofErr w:type="gramStart"/>
            <w:r>
              <w:rPr>
                <w:lang w:val="en-US" w:eastAsia="zh-CN"/>
              </w:rPr>
              <w:t>#(</w:t>
            </w:r>
            <w:proofErr w:type="gramEnd"/>
            <w:r>
              <w:rPr>
                <w:lang w:val="en-US" w:eastAsia="zh-CN"/>
              </w:rPr>
              <w:t>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 xml:space="preserve">antenna ports and receive antenna ports are used </w:t>
            </w:r>
            <w:r w:rsidR="009E4D2B">
              <w:rPr>
                <w:lang w:val="en-US" w:eastAsia="zh-CN"/>
              </w:rPr>
              <w:lastRenderedPageBreak/>
              <w:t>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ListBullet"/>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ListBullet"/>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ListBullet"/>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ListBullet"/>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ListBullet"/>
              <w:rPr>
                <w:rFonts w:eastAsia="Malgun Gothic"/>
                <w:lang w:eastAsia="ko-KR"/>
              </w:rPr>
            </w:pPr>
            <w:r w:rsidRPr="00D0538E">
              <w:rPr>
                <w:rFonts w:eastAsia="Malgun Gothic"/>
                <w:lang w:eastAsia="ko-KR"/>
              </w:rPr>
              <w:t>Option 2:</w:t>
            </w:r>
          </w:p>
          <w:p w14:paraId="2AA5A0C7" w14:textId="77777777" w:rsidR="001454B1" w:rsidRDefault="001454B1" w:rsidP="001454B1">
            <w:pPr>
              <w:pStyle w:val="ListBullet"/>
              <w:numPr>
                <w:ilvl w:val="0"/>
                <w:numId w:val="12"/>
              </w:numPr>
              <w:rPr>
                <w:rFonts w:eastAsia="Malgun Gothic"/>
                <w:lang w:eastAsia="ko-KR"/>
              </w:rPr>
            </w:pPr>
            <w:r w:rsidRPr="00D0538E">
              <w:rPr>
                <w:rFonts w:eastAsia="Malgun Gothic"/>
                <w:lang w:eastAsia="ko-KR"/>
              </w:rPr>
              <w:t xml:space="preserve">values for IMT-2020 </w:t>
            </w:r>
            <w:proofErr w:type="spellStart"/>
            <w:r w:rsidRPr="00D0538E">
              <w:rPr>
                <w:rFonts w:eastAsia="Malgun Gothic"/>
                <w:lang w:eastAsia="ko-KR"/>
              </w:rPr>
              <w:t>self evaluation</w:t>
            </w:r>
            <w:proofErr w:type="spellEnd"/>
            <w:r w:rsidRPr="00D0538E">
              <w:rPr>
                <w:rFonts w:eastAsia="Malgun Gothic"/>
                <w:lang w:eastAsia="ko-KR"/>
              </w:rPr>
              <w:t xml:space="preserve"> (1dB for DL and 3dB for UL)"</w:t>
            </w:r>
          </w:p>
          <w:p w14:paraId="2F15A971" w14:textId="77777777" w:rsidR="001454B1" w:rsidRDefault="001454B1" w:rsidP="001454B1">
            <w:pPr>
              <w:pStyle w:val="ListBullet"/>
              <w:numPr>
                <w:ilvl w:val="0"/>
                <w:numId w:val="0"/>
              </w:numPr>
              <w:rPr>
                <w:rFonts w:eastAsia="Malgun Gothic"/>
                <w:lang w:eastAsia="ko-KR"/>
              </w:rPr>
            </w:pPr>
          </w:p>
          <w:p w14:paraId="6D1221E6" w14:textId="77777777" w:rsidR="001454B1" w:rsidRDefault="001454B1" w:rsidP="001454B1">
            <w:pPr>
              <w:pStyle w:val="ListBullet"/>
              <w:rPr>
                <w:rFonts w:eastAsia="SimSun"/>
                <w:lang w:eastAsia="zh-CN"/>
              </w:rPr>
            </w:pPr>
            <w:proofErr w:type="gramStart"/>
            <w:r w:rsidRPr="008B21ED">
              <w:rPr>
                <w:rFonts w:eastAsia="SimSun"/>
                <w:lang w:eastAsia="zh-CN"/>
              </w:rPr>
              <w:t>Actually, the</w:t>
            </w:r>
            <w:proofErr w:type="gramEnd"/>
            <w:r w:rsidRPr="008B21ED">
              <w:rPr>
                <w:rFonts w:eastAsia="SimSun"/>
                <w:lang w:eastAsia="zh-CN"/>
              </w:rPr>
              <w:t xml:space="preserve"> values of (8) is </w:t>
            </w:r>
            <w:proofErr w:type="spellStart"/>
            <w:r w:rsidRPr="008B21ED">
              <w:rPr>
                <w:rFonts w:eastAsia="SimSun"/>
                <w:lang w:eastAsia="zh-CN"/>
              </w:rPr>
              <w:t>incorectly</w:t>
            </w:r>
            <w:proofErr w:type="spellEnd"/>
            <w:r w:rsidRPr="008B21ED">
              <w:rPr>
                <w:rFonts w:eastAsia="SimSun"/>
                <w:lang w:eastAsia="zh-CN"/>
              </w:rPr>
              <w:t xml:space="preserve"> </w:t>
            </w:r>
            <w:proofErr w:type="spellStart"/>
            <w:r w:rsidRPr="008B21ED">
              <w:rPr>
                <w:rFonts w:eastAsia="SimSun"/>
                <w:lang w:eastAsia="zh-CN"/>
              </w:rPr>
              <w:t>refered</w:t>
            </w:r>
            <w:proofErr w:type="spellEnd"/>
            <w:r w:rsidRPr="008B21ED">
              <w:rPr>
                <w:rFonts w:eastAsia="SimSun"/>
                <w:lang w:eastAsia="zh-CN"/>
              </w:rPr>
              <w:t xml:space="preserve"> from IMT-2020. Should be:</w:t>
            </w:r>
          </w:p>
          <w:p w14:paraId="36CEE9DC" w14:textId="6BAB6A31" w:rsidR="001454B1" w:rsidRDefault="001454B1" w:rsidP="001454B1">
            <w:pPr>
              <w:rPr>
                <w:lang w:val="en-US" w:eastAsia="zh-CN"/>
              </w:rPr>
            </w:pPr>
            <w:r w:rsidRPr="00D0538E">
              <w:rPr>
                <w:rFonts w:eastAsia="Malgun Gothic"/>
                <w:lang w:eastAsia="ko-KR"/>
              </w:rPr>
              <w:t xml:space="preserve">values for IMT-2020 </w:t>
            </w:r>
            <w:proofErr w:type="spellStart"/>
            <w:r w:rsidRPr="00D0538E">
              <w:rPr>
                <w:rFonts w:eastAsia="Malgun Gothic"/>
                <w:lang w:eastAsia="ko-KR"/>
              </w:rPr>
              <w:t>self evaluation</w:t>
            </w:r>
            <w:proofErr w:type="spellEnd"/>
            <w:r w:rsidRPr="00D0538E">
              <w:rPr>
                <w:rFonts w:eastAsia="Malgun Gothic"/>
                <w:lang w:eastAsia="ko-KR"/>
              </w:rPr>
              <w:t xml:space="preserve">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t>Intel</w:t>
            </w:r>
          </w:p>
        </w:tc>
        <w:tc>
          <w:tcPr>
            <w:tcW w:w="7786" w:type="dxa"/>
          </w:tcPr>
          <w:p w14:paraId="77D9093D" w14:textId="53589278" w:rsidR="00E90A03" w:rsidRPr="00E90A03" w:rsidRDefault="00E90A03" w:rsidP="00E90A03">
            <w:pPr>
              <w:rPr>
                <w:lang w:val="en-US" w:eastAsia="zh-CN"/>
              </w:rPr>
            </w:pPr>
            <w:r w:rsidRPr="00E90A03">
              <w:rPr>
                <w:lang w:val="en-US" w:eastAsia="zh-CN"/>
              </w:rPr>
              <w:t>We are fine with FL proposal 1. We share similar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 xml:space="preserve">For issue (3-4), thanks for adding the note to address our concern. We suggest </w:t>
            </w:r>
            <w:proofErr w:type="gramStart"/>
            <w:r w:rsidRPr="00E90A03">
              <w:rPr>
                <w:lang w:val="en-US" w:eastAsia="zh-CN"/>
              </w:rPr>
              <w:t>to remove</w:t>
            </w:r>
            <w:proofErr w:type="gramEnd"/>
            <w:r w:rsidR="00A35B37">
              <w:rPr>
                <w:lang w:val="en-US" w:eastAsia="zh-CN"/>
              </w:rPr>
              <w:t xml:space="preserve"> </w:t>
            </w:r>
            <w:r w:rsidRPr="00E90A03">
              <w:rPr>
                <w:lang w:val="en-US" w:eastAsia="zh-CN"/>
              </w:rPr>
              <w:t xml:space="preserve">"for uplink, (3a) = (3c) </w:t>
            </w:r>
            <w:r w:rsidRPr="00E90A03">
              <w:rPr>
                <w:strike/>
                <w:color w:val="FF0000"/>
                <w:lang w:val="en-US" w:eastAsia="zh-CN"/>
              </w:rPr>
              <w:t>if FDM is not used to multiplex different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r w:rsidR="009101B8" w14:paraId="22696BB6" w14:textId="77777777" w:rsidTr="00C35115">
        <w:tc>
          <w:tcPr>
            <w:tcW w:w="2376" w:type="dxa"/>
          </w:tcPr>
          <w:p w14:paraId="293F34F3" w14:textId="28103C0E" w:rsidR="009101B8" w:rsidRDefault="009101B8" w:rsidP="009101B8">
            <w:pPr>
              <w:rPr>
                <w:lang w:val="en-US" w:eastAsia="zh-CN"/>
              </w:rPr>
            </w:pPr>
            <w:r>
              <w:rPr>
                <w:rFonts w:hint="eastAsia"/>
                <w:lang w:val="en-US"/>
              </w:rPr>
              <w:t>S</w:t>
            </w:r>
            <w:r>
              <w:rPr>
                <w:lang w:val="en-US"/>
              </w:rPr>
              <w:t>harp</w:t>
            </w:r>
          </w:p>
        </w:tc>
        <w:tc>
          <w:tcPr>
            <w:tcW w:w="7786" w:type="dxa"/>
          </w:tcPr>
          <w:p w14:paraId="11DCA29B" w14:textId="77777777" w:rsidR="009101B8" w:rsidRDefault="009101B8" w:rsidP="009101B8">
            <w:pPr>
              <w:rPr>
                <w:lang w:val="en-US"/>
              </w:rPr>
            </w:pPr>
            <w:r>
              <w:rPr>
                <w:rFonts w:hint="eastAsia"/>
                <w:lang w:val="en-US"/>
              </w:rPr>
              <w:t>W</w:t>
            </w:r>
            <w:r>
              <w:rPr>
                <w:lang w:val="en-US"/>
              </w:rPr>
              <w:t>e are OK with FL proposal 1.</w:t>
            </w:r>
          </w:p>
          <w:p w14:paraId="5856CCA7" w14:textId="77777777" w:rsidR="009101B8" w:rsidRDefault="009101B8" w:rsidP="009101B8">
            <w:pPr>
              <w:rPr>
                <w:lang w:val="en-US"/>
              </w:rPr>
            </w:pPr>
            <w:r>
              <w:rPr>
                <w:rFonts w:hint="eastAsia"/>
                <w:lang w:val="en-US"/>
              </w:rPr>
              <w:lastRenderedPageBreak/>
              <w:t>W</w:t>
            </w:r>
            <w:r>
              <w:rPr>
                <w:lang w:val="en-US"/>
              </w:rPr>
              <w:t>e are OK with FL proposal 2. One minor comment regarding row (22bis), component (6) should be deleted in row (22bis).</w:t>
            </w:r>
          </w:p>
          <w:p w14:paraId="78DF1D06" w14:textId="14F6134A" w:rsidR="009101B8" w:rsidRPr="00E90A03" w:rsidRDefault="009101B8" w:rsidP="009101B8">
            <w:pPr>
              <w:rPr>
                <w:lang w:val="en-US" w:eastAsia="zh-CN"/>
              </w:rPr>
            </w:pPr>
            <w:r>
              <w:rPr>
                <w:rFonts w:hint="eastAsia"/>
                <w:lang w:val="en-US"/>
              </w:rPr>
              <w:t>W</w:t>
            </w:r>
            <w:r>
              <w:rPr>
                <w:lang w:val="en-US"/>
              </w:rPr>
              <w:t>e are OK with FL proposal 3. We can discuss it at the next meeting. We slightly prefer Alt 3-A.</w:t>
            </w:r>
          </w:p>
        </w:tc>
      </w:tr>
      <w:tr w:rsidR="00DE2CF4" w14:paraId="04E472C1" w14:textId="77777777" w:rsidTr="00C35115">
        <w:tc>
          <w:tcPr>
            <w:tcW w:w="2376" w:type="dxa"/>
          </w:tcPr>
          <w:p w14:paraId="3165EC89" w14:textId="6B847FB2" w:rsidR="00DE2CF4" w:rsidRDefault="00DE2CF4" w:rsidP="00DE2CF4">
            <w:pPr>
              <w:rPr>
                <w:lang w:val="en-US"/>
              </w:rPr>
            </w:pPr>
            <w:r>
              <w:rPr>
                <w:rFonts w:eastAsia="SimSun" w:hint="eastAsia"/>
                <w:lang w:val="en-US" w:eastAsia="zh-CN"/>
              </w:rPr>
              <w:lastRenderedPageBreak/>
              <w:t>CMCC</w:t>
            </w:r>
          </w:p>
        </w:tc>
        <w:tc>
          <w:tcPr>
            <w:tcW w:w="7786" w:type="dxa"/>
          </w:tcPr>
          <w:p w14:paraId="5523B245" w14:textId="77777777" w:rsidR="00DE2CF4" w:rsidRPr="00695979"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parameters that have no agreements and depends on companies’ report, one note can be added saying the values in IMT-2020 self-evaluation are recommended,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from TR 37.910 and ITU-R </w:t>
            </w:r>
            <w:r w:rsidRPr="00554B46">
              <w:rPr>
                <w:lang w:val="en-US" w:eastAsia="zh-CN"/>
              </w:rPr>
              <w:t>M.2412-0</w:t>
            </w:r>
            <w:r>
              <w:rPr>
                <w:lang w:val="en-US" w:eastAsia="zh-CN"/>
              </w:rPr>
              <w:t>.</w:t>
            </w:r>
          </w:p>
          <w:p w14:paraId="557ADC67" w14:textId="77777777" w:rsidR="00DE2CF4" w:rsidRDefault="00DE2CF4" w:rsidP="00DE2CF4">
            <w:pPr>
              <w:rPr>
                <w:rFonts w:eastAsia="SimSun"/>
                <w:lang w:val="en-US" w:eastAsia="zh-CN"/>
              </w:rPr>
            </w:pPr>
            <w:r>
              <w:rPr>
                <w:rFonts w:eastAsia="SimSun"/>
                <w:lang w:val="en-US" w:eastAsia="zh-CN"/>
              </w:rPr>
              <w:t>Alt 2-A is preferred</w:t>
            </w:r>
            <w:r>
              <w:rPr>
                <w:rFonts w:eastAsia="SimSun" w:hint="eastAsia"/>
                <w:lang w:val="en-US" w:eastAsia="zh-CN"/>
              </w:rPr>
              <w:t xml:space="preserve"> </w:t>
            </w:r>
            <w:r>
              <w:rPr>
                <w:rFonts w:eastAsia="SimSun"/>
                <w:lang w:val="en-US" w:eastAsia="zh-CN"/>
              </w:rPr>
              <w:t>for</w:t>
            </w:r>
            <w:r>
              <w:rPr>
                <w:rFonts w:eastAsia="SimSun" w:hint="eastAsia"/>
                <w:lang w:val="en-US" w:eastAsia="zh-CN"/>
              </w:rPr>
              <w:t xml:space="preserve"> FL proposal 2</w:t>
            </w:r>
            <w:r>
              <w:rPr>
                <w:rFonts w:eastAsia="SimSun"/>
                <w:lang w:val="en-US" w:eastAsia="zh-CN"/>
              </w:rPr>
              <w:t xml:space="preserve">, since it is more straight forward and more align with IMT-2020 template. </w:t>
            </w:r>
          </w:p>
          <w:p w14:paraId="6566455D" w14:textId="77777777" w:rsidR="00DE2CF4" w:rsidRDefault="00DE2CF4" w:rsidP="00DE2CF4">
            <w:pPr>
              <w:rPr>
                <w:rFonts w:eastAsia="SimSun"/>
                <w:lang w:val="en-US" w:eastAsia="zh-CN"/>
              </w:rPr>
            </w:pPr>
            <w:r>
              <w:rPr>
                <w:rFonts w:eastAsia="SimSun"/>
                <w:lang w:val="en-US" w:eastAsia="zh-CN"/>
              </w:rPr>
              <w:t>Alt 3-A</w:t>
            </w:r>
            <w:r>
              <w:rPr>
                <w:rFonts w:eastAsia="SimSun" w:hint="eastAsia"/>
                <w:lang w:val="en-US" w:eastAsia="zh-CN"/>
              </w:rPr>
              <w:t xml:space="preserve"> </w:t>
            </w:r>
            <w:r>
              <w:rPr>
                <w:rFonts w:eastAsia="SimSun"/>
                <w:lang w:val="en-US" w:eastAsia="zh-CN"/>
              </w:rPr>
              <w:t>is preferred</w:t>
            </w:r>
            <w:r>
              <w:rPr>
                <w:rFonts w:eastAsia="SimSun" w:hint="eastAsia"/>
                <w:lang w:val="en-US" w:eastAsia="zh-CN"/>
              </w:rPr>
              <w:t xml:space="preserve"> in in FL proposal 3.</w:t>
            </w:r>
            <w:r>
              <w:rPr>
                <w:rFonts w:eastAsia="SimSun"/>
                <w:lang w:val="en-US" w:eastAsia="zh-CN"/>
              </w:rPr>
              <w:t xml:space="preserve"> It seems that </w:t>
            </w:r>
            <w:proofErr w:type="spellStart"/>
            <w:r>
              <w:rPr>
                <w:rFonts w:eastAsia="SimSun"/>
                <w:lang w:val="en-US" w:eastAsia="zh-CN"/>
              </w:rPr>
              <w:t>TxRU</w:t>
            </w:r>
            <w:proofErr w:type="spellEnd"/>
            <w:r>
              <w:rPr>
                <w:rFonts w:eastAsia="SimSun"/>
                <w:lang w:val="en-US" w:eastAsia="zh-CN"/>
              </w:rPr>
              <w:t xml:space="preserve"> is a term for base station and the Tx and Rx chain is for the UE side. </w:t>
            </w:r>
            <w:proofErr w:type="gramStart"/>
            <w:r>
              <w:rPr>
                <w:rFonts w:eastAsia="SimSun"/>
                <w:lang w:val="en-US" w:eastAsia="zh-CN"/>
              </w:rPr>
              <w:t>So</w:t>
            </w:r>
            <w:proofErr w:type="gramEnd"/>
            <w:r>
              <w:rPr>
                <w:rFonts w:eastAsia="SimSun"/>
                <w:lang w:val="en-US" w:eastAsia="zh-CN"/>
              </w:rPr>
              <w:t xml:space="preserve"> the antenna port could be a compromise. </w:t>
            </w:r>
          </w:p>
          <w:p w14:paraId="1F7FFAD8" w14:textId="77777777" w:rsidR="00DE2CF4" w:rsidRDefault="00DE2CF4" w:rsidP="00DE2CF4">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the noise figure for FR2, reusing the FR1 value (</w:t>
            </w:r>
            <w:r w:rsidRPr="00312C86">
              <w:rPr>
                <w:lang w:val="en-US" w:eastAsia="zh-CN"/>
              </w:rPr>
              <w:t>7dB for UE and 5dB for BS</w:t>
            </w:r>
            <w:r>
              <w:rPr>
                <w:rFonts w:eastAsia="SimSun"/>
                <w:lang w:val="en-US" w:eastAsia="zh-CN"/>
              </w:rPr>
              <w:t xml:space="preserve">) is too optimistic. The values </w:t>
            </w:r>
            <w:r>
              <w:rPr>
                <w:lang w:val="en-US" w:eastAsia="zh-CN"/>
              </w:rPr>
              <w:t>(10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w:t>
            </w:r>
            <w:r>
              <w:rPr>
                <w:rFonts w:eastAsia="SimSun"/>
                <w:lang w:val="en-US" w:eastAsia="zh-CN"/>
              </w:rPr>
              <w:t xml:space="preserve">from </w:t>
            </w:r>
            <w:r w:rsidRPr="00554B46">
              <w:rPr>
                <w:lang w:val="en-US" w:eastAsia="zh-CN"/>
              </w:rPr>
              <w:t>ITU-R M.2412-0</w:t>
            </w:r>
            <w:r>
              <w:rPr>
                <w:lang w:val="en-US" w:eastAsia="zh-CN"/>
              </w:rPr>
              <w:t xml:space="preserve"> for FR2 could be considered as a reference.</w:t>
            </w:r>
          </w:p>
          <w:p w14:paraId="2E30100C" w14:textId="77777777" w:rsidR="00DE2CF4" w:rsidRDefault="00DE2CF4" w:rsidP="00DE2CF4">
            <w:pPr>
              <w:rPr>
                <w:lang w:val="en-US"/>
              </w:rPr>
            </w:pPr>
          </w:p>
        </w:tc>
      </w:tr>
      <w:tr w:rsidR="00F829F3" w14:paraId="5A8EA057" w14:textId="77777777" w:rsidTr="00F829F3">
        <w:tc>
          <w:tcPr>
            <w:tcW w:w="2376" w:type="dxa"/>
          </w:tcPr>
          <w:p w14:paraId="6B09AEAA" w14:textId="77777777" w:rsidR="00F829F3" w:rsidRDefault="00F829F3" w:rsidP="00ED7C6F">
            <w:pPr>
              <w:rPr>
                <w:lang w:val="en-US" w:eastAsia="zh-CN"/>
              </w:rPr>
            </w:pPr>
            <w:r>
              <w:rPr>
                <w:lang w:val="en-US" w:eastAsia="zh-CN"/>
              </w:rPr>
              <w:t>Ericsson</w:t>
            </w:r>
          </w:p>
        </w:tc>
        <w:tc>
          <w:tcPr>
            <w:tcW w:w="7786" w:type="dxa"/>
          </w:tcPr>
          <w:p w14:paraId="6D7E9489" w14:textId="77777777" w:rsidR="00F829F3" w:rsidRDefault="00F829F3" w:rsidP="00ED7C6F">
            <w:pPr>
              <w:rPr>
                <w:lang w:val="en-US" w:eastAsia="zh-CN"/>
              </w:rPr>
            </w:pPr>
            <w:r>
              <w:rPr>
                <w:lang w:val="en-US" w:eastAsia="zh-CN"/>
              </w:rPr>
              <w:t xml:space="preserve">Agree with the approach in FL proposal 1.  However, it is important that at least the key parameters used to generate results (including required SINR) are clearly identified in the TR rather than e.g. references to </w:t>
            </w:r>
            <w:proofErr w:type="spellStart"/>
            <w:r>
              <w:rPr>
                <w:lang w:val="en-US" w:eastAsia="zh-CN"/>
              </w:rPr>
              <w:t>tdoc</w:t>
            </w:r>
            <w:proofErr w:type="spellEnd"/>
            <w:r>
              <w:rPr>
                <w:lang w:val="en-US" w:eastAsia="zh-CN"/>
              </w:rPr>
              <w:t xml:space="preserve"> numbers.  This can be further discussed later, though.</w:t>
            </w:r>
          </w:p>
          <w:p w14:paraId="2C153173" w14:textId="77777777" w:rsidR="00F829F3" w:rsidRDefault="00F829F3" w:rsidP="00ED7C6F">
            <w:pPr>
              <w:rPr>
                <w:lang w:val="en-US" w:eastAsia="zh-CN"/>
              </w:rPr>
            </w:pPr>
            <w:r>
              <w:rPr>
                <w:lang w:val="en-US" w:eastAsia="zh-CN"/>
              </w:rPr>
              <w:t>For FL proposal 2, we slightly prefer alt 2-A, as it seems a bit easier to relate to common definitions of MIL.</w:t>
            </w:r>
          </w:p>
          <w:p w14:paraId="4416CEFC" w14:textId="77777777" w:rsidR="00F829F3" w:rsidRDefault="00F829F3" w:rsidP="00ED7C6F">
            <w:pPr>
              <w:rPr>
                <w:lang w:val="en-US" w:eastAsia="zh-CN"/>
              </w:rPr>
            </w:pPr>
            <w:r>
              <w:rPr>
                <w:lang w:val="en-US" w:eastAsia="zh-CN"/>
              </w:rPr>
              <w:t>For issue (3-1), while companies do seem to have common understanding on what is meant by (1), (2), (2a), (10), (10a), and (10b), we think it is important that terminology used in a TR is clear and consistent with general usage in RAN, especially RAN1.  Even within the NR coverage enhancement study, we have different numbers of receive and transmit chains in some setups, so ‘TXRU’ is not correct terminology for all setups studied.  Our understanding of the use of ‘</w:t>
            </w:r>
            <w:proofErr w:type="spellStart"/>
            <w:r>
              <w:rPr>
                <w:lang w:val="en-US" w:eastAsia="zh-CN"/>
              </w:rPr>
              <w:t>TxRU</w:t>
            </w:r>
            <w:proofErr w:type="spellEnd"/>
            <w:r>
              <w:rPr>
                <w:lang w:val="en-US" w:eastAsia="zh-CN"/>
              </w:rPr>
              <w:t>’ in the antenna gain figures is that the terminology was not intended to restrict number Tx and to be the same as the number of Rx chains, as this would conflict with other agreements.  One solution could be to clarify from ‘</w:t>
            </w:r>
            <w:proofErr w:type="spellStart"/>
            <w:r>
              <w:rPr>
                <w:lang w:val="en-US" w:eastAsia="zh-CN"/>
              </w:rPr>
              <w:t>TxRU</w:t>
            </w:r>
            <w:proofErr w:type="spellEnd"/>
            <w:r>
              <w:rPr>
                <w:lang w:val="en-US" w:eastAsia="zh-CN"/>
              </w:rPr>
              <w:t>’ to ‘Tx or Rx’ in the antenna gain figures in the TR.</w:t>
            </w:r>
          </w:p>
          <w:p w14:paraId="3A0F7AF4" w14:textId="77777777" w:rsidR="00F829F3" w:rsidRDefault="00F829F3" w:rsidP="00ED7C6F">
            <w:pPr>
              <w:rPr>
                <w:lang w:val="en-US" w:eastAsia="zh-CN"/>
              </w:rPr>
            </w:pPr>
            <w:r>
              <w:rPr>
                <w:lang w:val="en-US" w:eastAsia="zh-CN"/>
              </w:rPr>
              <w:t>On (4-2 new): We are OK to remove (6) as FL proposes.</w:t>
            </w:r>
          </w:p>
          <w:p w14:paraId="7EECC192" w14:textId="77777777" w:rsidR="00F829F3" w:rsidRDefault="00F829F3" w:rsidP="00ED7C6F">
            <w:pPr>
              <w:rPr>
                <w:lang w:val="en-US" w:eastAsia="zh-CN"/>
              </w:rPr>
            </w:pPr>
            <w:r>
              <w:rPr>
                <w:lang w:val="en-US" w:eastAsia="zh-CN"/>
              </w:rPr>
              <w:lastRenderedPageBreak/>
              <w:t>For (4-4 new): moving (24) to system parameters is OK, but we should not debate these values related to MPL, and they can be left to company reports.</w:t>
            </w:r>
          </w:p>
          <w:p w14:paraId="5BCB038F" w14:textId="77777777" w:rsidR="00F829F3" w:rsidRDefault="00F829F3" w:rsidP="00ED7C6F">
            <w:pPr>
              <w:rPr>
                <w:lang w:val="en-US" w:eastAsia="zh-CN"/>
              </w:rPr>
            </w:pPr>
            <w:r>
              <w:rPr>
                <w:lang w:val="en-US" w:eastAsia="zh-CN"/>
              </w:rPr>
              <w:t>Regarding (4-5 new): Thanks for the clarification on how the UE Tx power discussion will be captured.  Agree with CMCC that the outcome should be captured into a document.  In our view, there should be some clear reflection of the motivation for the different UE Tx power values captured in the TR, but we can take that discussion in that email thread.</w:t>
            </w:r>
          </w:p>
          <w:p w14:paraId="1654792A" w14:textId="77777777" w:rsidR="00F829F3" w:rsidRDefault="00F829F3" w:rsidP="00ED7C6F">
            <w:pPr>
              <w:rPr>
                <w:lang w:val="en-US" w:eastAsia="zh-CN"/>
              </w:rPr>
            </w:pPr>
            <w:r>
              <w:rPr>
                <w:lang w:val="en-US" w:eastAsia="zh-CN"/>
              </w:rPr>
              <w:t>There is a typo: ‘PDSCH of Msg.2’ needs to be added to ‘Channel for evaluation’</w:t>
            </w:r>
          </w:p>
          <w:p w14:paraId="41B90F88" w14:textId="77777777" w:rsidR="00F829F3" w:rsidRDefault="00F829F3" w:rsidP="00ED7C6F">
            <w:pPr>
              <w:rPr>
                <w:lang w:val="en-US" w:eastAsia="zh-CN"/>
              </w:rPr>
            </w:pPr>
            <w:r>
              <w:rPr>
                <w:lang w:val="en-US" w:eastAsia="zh-CN"/>
              </w:rPr>
              <w:t xml:space="preserve">Minor comment: (3) may be updated rather than (9a) according to FR2 discussions on power.  Also a minor suggestion on FL comment for (3) for clarity: This is for UE </w:t>
            </w:r>
            <w:proofErr w:type="spellStart"/>
            <w:r>
              <w:rPr>
                <w:lang w:val="en-US" w:eastAsia="zh-CN"/>
              </w:rPr>
              <w:t>tx</w:t>
            </w:r>
            <w:proofErr w:type="spellEnd"/>
            <w:r>
              <w:rPr>
                <w:lang w:val="en-US" w:eastAsia="zh-CN"/>
              </w:rPr>
              <w:t xml:space="preserve"> power, although (3) is for both gNB and UE; suggest to say for FR1: ‘No agreements </w:t>
            </w:r>
            <w:r w:rsidRPr="00CA6F26">
              <w:rPr>
                <w:color w:val="FF0000"/>
                <w:u w:val="single"/>
                <w:lang w:val="en-US" w:eastAsia="zh-CN"/>
              </w:rPr>
              <w:t xml:space="preserve">for UE </w:t>
            </w:r>
            <w:proofErr w:type="spellStart"/>
            <w:r w:rsidRPr="00CA6F26">
              <w:rPr>
                <w:color w:val="FF0000"/>
                <w:u w:val="single"/>
                <w:lang w:val="en-US" w:eastAsia="zh-CN"/>
              </w:rPr>
              <w:t>tx</w:t>
            </w:r>
            <w:proofErr w:type="spellEnd"/>
            <w:r w:rsidRPr="00CA6F26">
              <w:rPr>
                <w:color w:val="FF0000"/>
                <w:u w:val="single"/>
                <w:lang w:val="en-US" w:eastAsia="zh-CN"/>
              </w:rPr>
              <w:t xml:space="preserve"> power</w:t>
            </w:r>
            <w:r>
              <w:rPr>
                <w:lang w:val="en-US" w:eastAsia="zh-CN"/>
              </w:rPr>
              <w:t xml:space="preserve">’, and for FL proposal ‘used for </w:t>
            </w:r>
            <w:r w:rsidRPr="0076422B">
              <w:rPr>
                <w:color w:val="FF0000"/>
                <w:u w:val="single"/>
                <w:lang w:val="en-US" w:eastAsia="zh-CN"/>
              </w:rPr>
              <w:t xml:space="preserve">UE </w:t>
            </w:r>
            <w:proofErr w:type="spellStart"/>
            <w:r w:rsidRPr="0076422B">
              <w:rPr>
                <w:color w:val="FF0000"/>
                <w:u w:val="single"/>
                <w:lang w:val="en-US" w:eastAsia="zh-CN"/>
              </w:rPr>
              <w:t>tx</w:t>
            </w:r>
            <w:proofErr w:type="spellEnd"/>
            <w:r w:rsidRPr="0076422B">
              <w:rPr>
                <w:color w:val="FF0000"/>
                <w:u w:val="single"/>
                <w:lang w:val="en-US" w:eastAsia="zh-CN"/>
              </w:rPr>
              <w:t xml:space="preserve"> power in</w:t>
            </w:r>
            <w:r>
              <w:rPr>
                <w:lang w:val="en-US" w:eastAsia="zh-CN"/>
              </w:rPr>
              <w:t xml:space="preserve"> FR1, i.e. 23 dBm’.</w:t>
            </w:r>
          </w:p>
          <w:p w14:paraId="7395B4FC" w14:textId="77777777" w:rsidR="00F829F3" w:rsidRDefault="00F829F3" w:rsidP="00ED7C6F">
            <w:pPr>
              <w:rPr>
                <w:lang w:val="en-US" w:eastAsia="zh-CN"/>
              </w:rPr>
            </w:pPr>
            <w:r>
              <w:rPr>
                <w:lang w:val="en-US" w:eastAsia="zh-CN"/>
              </w:rPr>
              <w:t>Regarding TDL-C, we see some notable difference in performance for wider band channels between TDL-A 30ns and TDL-C 100ns, and so think that TDL-C should be kept.</w:t>
            </w:r>
          </w:p>
          <w:p w14:paraId="514D2CEB" w14:textId="77777777" w:rsidR="00F829F3" w:rsidRDefault="00F829F3" w:rsidP="00ED7C6F">
            <w:pPr>
              <w:rPr>
                <w:lang w:val="en-US" w:eastAsia="zh-CN"/>
              </w:rPr>
            </w:pPr>
            <w:r>
              <w:rPr>
                <w:lang w:val="en-US" w:eastAsia="zh-CN"/>
              </w:rPr>
              <w:t xml:space="preserve">PRACH 10% missed detection should be kept. The difference between 1% and 10% can be 4-6 dB or so, and assuming 1% will have a dramatic impact on the results as compared to 10%.  PRACH ramping implies multiple transmissions, and so the intuition for only 1% in a coverage limited scenario is not clear.  Moreover, there has been no justification offered on why 1% </w:t>
            </w:r>
            <w:proofErr w:type="gramStart"/>
            <w:r>
              <w:rPr>
                <w:lang w:val="en-US" w:eastAsia="zh-CN"/>
              </w:rPr>
              <w:t>is a suitable value</w:t>
            </w:r>
            <w:proofErr w:type="gramEnd"/>
            <w:r>
              <w:rPr>
                <w:lang w:val="en-US" w:eastAsia="zh-CN"/>
              </w:rPr>
              <w:t>.</w:t>
            </w:r>
          </w:p>
          <w:p w14:paraId="18C11980" w14:textId="77777777" w:rsidR="00F829F3" w:rsidRDefault="00F829F3" w:rsidP="00ED7C6F">
            <w:pPr>
              <w:rPr>
                <w:lang w:val="en-US" w:eastAsia="zh-CN"/>
              </w:rPr>
            </w:pPr>
            <w:r>
              <w:rPr>
                <w:lang w:val="en-US" w:eastAsia="zh-CN"/>
              </w:rPr>
              <w:t>Regarding (8) and (12), they both say ‘enumerate sources’, that is, to identify what the values represent.  Can companies proposing to reuse 3 dB for gNB loss and 1 dB for UE loss say what the values represent, i.e. do they only have feeder losses in mind or something else?  If there are multiple proposals, we then at least need a place somewhere for companies to fill in this information.</w:t>
            </w:r>
          </w:p>
          <w:p w14:paraId="42FC0D14" w14:textId="54DC1F4F" w:rsidR="00F829F3" w:rsidRPr="00E90A03" w:rsidRDefault="00F829F3" w:rsidP="00ED7C6F">
            <w:pPr>
              <w:rPr>
                <w:lang w:val="en-US" w:eastAsia="zh-CN"/>
              </w:rPr>
            </w:pPr>
            <w:r>
              <w:rPr>
                <w:lang w:val="en-US" w:eastAsia="zh-CN"/>
              </w:rPr>
              <w:t xml:space="preserve">Agree with Huawei </w:t>
            </w:r>
            <w:r w:rsidR="006B62F1">
              <w:rPr>
                <w:lang w:val="en-US" w:eastAsia="zh-CN"/>
              </w:rPr>
              <w:t xml:space="preserve">and CMCC </w:t>
            </w:r>
            <w:r>
              <w:rPr>
                <w:lang w:val="en-US" w:eastAsia="zh-CN"/>
              </w:rPr>
              <w:t xml:space="preserve">that FR1 noise figures for gNB and UE should be 5 &amp; 7 dB respectively, while for FR2 they should be 7 and 10 dB for gNB and UE, respectively.  </w:t>
            </w:r>
          </w:p>
        </w:tc>
      </w:tr>
      <w:tr w:rsidR="00ED7C6F" w14:paraId="57E65A70" w14:textId="77777777" w:rsidTr="00F829F3">
        <w:tc>
          <w:tcPr>
            <w:tcW w:w="2376" w:type="dxa"/>
          </w:tcPr>
          <w:p w14:paraId="1CD1C666" w14:textId="0CA65806" w:rsidR="00ED7C6F" w:rsidRPr="00ED7C6F" w:rsidRDefault="00ED7C6F" w:rsidP="00ED7C6F">
            <w:pPr>
              <w:rPr>
                <w:rFonts w:eastAsia="Malgun Gothic"/>
                <w:lang w:val="en-US" w:eastAsia="ko-KR"/>
              </w:rPr>
            </w:pPr>
            <w:r>
              <w:rPr>
                <w:rFonts w:eastAsia="Malgun Gothic" w:hint="eastAsia"/>
                <w:lang w:val="en-US" w:eastAsia="ko-KR"/>
              </w:rPr>
              <w:lastRenderedPageBreak/>
              <w:t>Sa</w:t>
            </w:r>
            <w:r>
              <w:rPr>
                <w:rFonts w:eastAsia="Malgun Gothic"/>
                <w:lang w:val="en-US" w:eastAsia="ko-KR"/>
              </w:rPr>
              <w:t>msung</w:t>
            </w:r>
          </w:p>
        </w:tc>
        <w:tc>
          <w:tcPr>
            <w:tcW w:w="7786" w:type="dxa"/>
          </w:tcPr>
          <w:p w14:paraId="10A8DD6E" w14:textId="1895580C" w:rsidR="00ED7C6F" w:rsidRDefault="00ED7C6F" w:rsidP="00ED7C6F">
            <w:pPr>
              <w:rPr>
                <w:rFonts w:eastAsia="Malgun Gothic"/>
                <w:lang w:val="en-US" w:eastAsia="ko-KR"/>
              </w:rPr>
            </w:pPr>
            <w:r>
              <w:rPr>
                <w:rFonts w:eastAsia="Malgun Gothic" w:hint="eastAsia"/>
                <w:lang w:val="en-US" w:eastAsia="ko-KR"/>
              </w:rPr>
              <w:t>FL proposal 1</w:t>
            </w:r>
            <w:r w:rsidR="00FD6DCB">
              <w:rPr>
                <w:rFonts w:eastAsia="Malgun Gothic"/>
                <w:lang w:val="en-US" w:eastAsia="ko-KR"/>
              </w:rPr>
              <w:t>: OK</w:t>
            </w:r>
          </w:p>
          <w:p w14:paraId="45D3DBBB" w14:textId="2F4D316A" w:rsidR="00ED7C6F" w:rsidRDefault="00ED7C6F" w:rsidP="00ED7C6F">
            <w:pPr>
              <w:rPr>
                <w:rFonts w:eastAsia="Malgun Gothic"/>
                <w:lang w:val="en-US" w:eastAsia="ko-KR"/>
              </w:rPr>
            </w:pPr>
            <w:r>
              <w:rPr>
                <w:rFonts w:eastAsia="Malgun Gothic" w:hint="eastAsia"/>
                <w:lang w:val="en-US" w:eastAsia="ko-KR"/>
              </w:rPr>
              <w:t>FL proposal 2</w:t>
            </w:r>
            <w:r w:rsidR="00FD6DCB">
              <w:rPr>
                <w:rFonts w:eastAsia="Malgun Gothic"/>
                <w:lang w:val="en-US" w:eastAsia="ko-KR"/>
              </w:rPr>
              <w:t>:</w:t>
            </w:r>
            <w:r>
              <w:rPr>
                <w:rFonts w:eastAsia="Malgun Gothic" w:hint="eastAsia"/>
                <w:lang w:val="en-US" w:eastAsia="ko-KR"/>
              </w:rPr>
              <w:t xml:space="preserve"> </w:t>
            </w:r>
            <w:r w:rsidR="00FD6DCB">
              <w:rPr>
                <w:rFonts w:eastAsia="Malgun Gothic"/>
                <w:lang w:val="en-US" w:eastAsia="ko-KR"/>
              </w:rPr>
              <w:t>T</w:t>
            </w:r>
            <w:r>
              <w:rPr>
                <w:rFonts w:eastAsia="Malgun Gothic"/>
                <w:lang w:val="en-US" w:eastAsia="ko-KR"/>
              </w:rPr>
              <w:t xml:space="preserve">he result </w:t>
            </w:r>
            <w:r w:rsidR="00FD6DCB">
              <w:rPr>
                <w:rFonts w:eastAsia="Malgun Gothic"/>
                <w:lang w:val="en-US" w:eastAsia="ko-KR"/>
              </w:rPr>
              <w:t xml:space="preserve">would be the same </w:t>
            </w:r>
            <w:r>
              <w:rPr>
                <w:rFonts w:eastAsia="Malgun Gothic"/>
                <w:lang w:val="en-US" w:eastAsia="ko-KR"/>
              </w:rPr>
              <w:t>between Alt 2-A and Alt 2-B</w:t>
            </w:r>
            <w:r w:rsidR="00FD6DCB">
              <w:rPr>
                <w:rFonts w:eastAsia="Malgun Gothic"/>
                <w:lang w:val="en-US" w:eastAsia="ko-KR"/>
              </w:rPr>
              <w:t xml:space="preserve"> subject to the removal of (6) --</w:t>
            </w:r>
            <w:r>
              <w:rPr>
                <w:rFonts w:eastAsia="Malgun Gothic"/>
                <w:lang w:val="en-US" w:eastAsia="ko-KR"/>
              </w:rPr>
              <w:t xml:space="preserve"> (6) is included in Alt 2-B but not in Alt 2-A</w:t>
            </w:r>
            <w:r w:rsidR="002E43B5">
              <w:rPr>
                <w:rFonts w:eastAsia="Malgun Gothic"/>
                <w:lang w:val="en-US" w:eastAsia="ko-KR"/>
              </w:rPr>
              <w:t>.</w:t>
            </w:r>
            <w:r w:rsidR="00A04C6D">
              <w:rPr>
                <w:rFonts w:eastAsia="Malgun Gothic"/>
                <w:lang w:val="en-US" w:eastAsia="ko-KR"/>
              </w:rPr>
              <w:t xml:space="preserve"> </w:t>
            </w:r>
            <w:r w:rsidR="002E43B5">
              <w:rPr>
                <w:rFonts w:eastAsia="Malgun Gothic"/>
                <w:lang w:val="en-US" w:eastAsia="ko-KR"/>
              </w:rPr>
              <w:t xml:space="preserve"> Assuming the remove of (6) (FL already proposed it in (4-1) and (4-2 New)), we are OK with either Alt 2-A or Alt 2-B.</w:t>
            </w:r>
          </w:p>
          <w:p w14:paraId="36B4F9F7" w14:textId="727C80D6" w:rsidR="00FD6DCB" w:rsidRPr="00ED7C6F" w:rsidRDefault="00FD6DCB" w:rsidP="00A04C6D">
            <w:pPr>
              <w:rPr>
                <w:rFonts w:eastAsia="Malgun Gothic"/>
                <w:lang w:val="en-US" w:eastAsia="ko-KR"/>
              </w:rPr>
            </w:pPr>
            <w:r>
              <w:rPr>
                <w:rFonts w:eastAsia="Malgun Gothic"/>
                <w:lang w:val="en-US" w:eastAsia="ko-KR"/>
              </w:rPr>
              <w:lastRenderedPageBreak/>
              <w:t>FL proposal 3: Prefer Alt 3-A</w:t>
            </w:r>
          </w:p>
        </w:tc>
      </w:tr>
      <w:tr w:rsidR="001B43D9" w14:paraId="5C0601EC" w14:textId="77777777" w:rsidTr="00F829F3">
        <w:tc>
          <w:tcPr>
            <w:tcW w:w="2376" w:type="dxa"/>
          </w:tcPr>
          <w:p w14:paraId="6E9B532F" w14:textId="1BA8332F" w:rsidR="001B43D9" w:rsidRDefault="001B43D9" w:rsidP="00ED7C6F">
            <w:pPr>
              <w:rPr>
                <w:rFonts w:eastAsia="Malgun Gothic" w:hint="eastAsia"/>
                <w:lang w:val="en-US" w:eastAsia="ko-KR"/>
              </w:rPr>
            </w:pPr>
            <w:r>
              <w:rPr>
                <w:rFonts w:eastAsia="Malgun Gothic"/>
                <w:lang w:val="en-US" w:eastAsia="ko-KR"/>
              </w:rPr>
              <w:lastRenderedPageBreak/>
              <w:t>Qualcomm</w:t>
            </w:r>
          </w:p>
        </w:tc>
        <w:tc>
          <w:tcPr>
            <w:tcW w:w="7786" w:type="dxa"/>
          </w:tcPr>
          <w:p w14:paraId="180CC3A6" w14:textId="77777777" w:rsidR="001B43D9" w:rsidRDefault="001B43D9" w:rsidP="00ED7C6F">
            <w:pPr>
              <w:rPr>
                <w:rFonts w:eastAsia="Malgun Gothic"/>
                <w:lang w:val="en-US" w:eastAsia="ko-KR"/>
              </w:rPr>
            </w:pPr>
            <w:r>
              <w:rPr>
                <w:rFonts w:eastAsia="Malgun Gothic"/>
                <w:lang w:val="en-US" w:eastAsia="ko-KR"/>
              </w:rPr>
              <w:t>Support Proposal 1.</w:t>
            </w:r>
          </w:p>
          <w:p w14:paraId="0E8C76A2" w14:textId="54A55A4F" w:rsidR="001B43D9" w:rsidRDefault="001B43D9" w:rsidP="00ED7C6F">
            <w:pPr>
              <w:rPr>
                <w:rFonts w:eastAsia="Malgun Gothic"/>
                <w:lang w:val="en-US" w:eastAsia="ko-KR"/>
              </w:rPr>
            </w:pPr>
            <w:r>
              <w:rPr>
                <w:rFonts w:eastAsia="Malgun Gothic"/>
                <w:lang w:val="en-US" w:eastAsia="ko-KR"/>
              </w:rPr>
              <w:t>For Proposal 2: Prefer Alt 2-B. Please note that both options give the same result.</w:t>
            </w:r>
            <w:r w:rsidR="002E40A0">
              <w:rPr>
                <w:rFonts w:eastAsia="Malgun Gothic"/>
                <w:lang w:val="en-US" w:eastAsia="ko-KR"/>
              </w:rPr>
              <w:t xml:space="preserve"> We can take Alt 2-A as the “official formula”, with a note saying 2-B can also be used. This serves as a reminder to people on how MIL relates to MCL. Given that agreements were made on how to derive MIL from MCL, I feel this little note will help folks looking at this table 3-5 years down the lane. </w:t>
            </w:r>
          </w:p>
          <w:p w14:paraId="09EF9422" w14:textId="67B26BF6" w:rsidR="002E40A0" w:rsidRDefault="002E40A0" w:rsidP="00ED7C6F">
            <w:pPr>
              <w:rPr>
                <w:rFonts w:eastAsia="Malgun Gothic"/>
                <w:lang w:val="en-US" w:eastAsia="ko-KR"/>
              </w:rPr>
            </w:pPr>
            <w:r>
              <w:rPr>
                <w:rFonts w:eastAsia="Malgun Gothic"/>
                <w:lang w:val="en-US" w:eastAsia="ko-KR"/>
              </w:rPr>
              <w:t xml:space="preserve">For Proposal 3: Prefer Alt 3-B. Tend to agree with what E/// is saying. Important to use appropriate terminology.  </w:t>
            </w:r>
          </w:p>
          <w:p w14:paraId="42E4BDC5" w14:textId="021BAB16" w:rsidR="00957CE0" w:rsidRDefault="00957CE0" w:rsidP="00ED7C6F">
            <w:pPr>
              <w:rPr>
                <w:rFonts w:eastAsia="Malgun Gothic"/>
                <w:lang w:val="en-US" w:eastAsia="ko-KR"/>
              </w:rPr>
            </w:pPr>
            <w:r>
              <w:rPr>
                <w:rFonts w:eastAsia="Malgun Gothic"/>
                <w:lang w:val="en-US" w:eastAsia="ko-KR"/>
              </w:rPr>
              <w:t>Issue 4-2: We are okay to remove (6). 22bis needs to be updated.</w:t>
            </w:r>
          </w:p>
          <w:p w14:paraId="3206027A" w14:textId="7A7F1207" w:rsidR="00957CE0" w:rsidRDefault="00957CE0" w:rsidP="00ED7C6F">
            <w:pPr>
              <w:rPr>
                <w:rFonts w:eastAsia="Malgun Gothic"/>
                <w:lang w:val="en-US" w:eastAsia="ko-KR"/>
              </w:rPr>
            </w:pPr>
            <w:r>
              <w:rPr>
                <w:rFonts w:eastAsia="Malgun Gothic"/>
                <w:lang w:val="en-US" w:eastAsia="ko-KR"/>
              </w:rPr>
              <w:t>Issue 4-3: support.</w:t>
            </w:r>
          </w:p>
          <w:p w14:paraId="7A0BCF67" w14:textId="6F017E51" w:rsidR="00957CE0" w:rsidRDefault="00957CE0" w:rsidP="00ED7C6F">
            <w:pPr>
              <w:rPr>
                <w:rFonts w:eastAsia="Malgun Gothic"/>
                <w:lang w:val="en-US" w:eastAsia="ko-KR"/>
              </w:rPr>
            </w:pPr>
            <w:r>
              <w:rPr>
                <w:rFonts w:eastAsia="Malgun Gothic"/>
                <w:lang w:val="en-US" w:eastAsia="ko-KR"/>
              </w:rPr>
              <w:t>Issue 4-4: support.</w:t>
            </w:r>
          </w:p>
          <w:p w14:paraId="2757EA87" w14:textId="7880DD6E" w:rsidR="00957CE0" w:rsidRDefault="006E37F4" w:rsidP="00ED7C6F">
            <w:pPr>
              <w:rPr>
                <w:rFonts w:eastAsia="Malgun Gothic"/>
                <w:lang w:val="en-US" w:eastAsia="ko-KR"/>
              </w:rPr>
            </w:pPr>
            <w:r>
              <w:rPr>
                <w:rFonts w:eastAsia="Malgun Gothic"/>
                <w:lang w:val="en-US" w:eastAsia="ko-KR"/>
              </w:rPr>
              <w:t>Regarding column D in the link budget table:</w:t>
            </w:r>
            <w:r w:rsidR="009B3D05">
              <w:rPr>
                <w:rFonts w:eastAsia="Malgun Gothic"/>
                <w:lang w:val="en-US" w:eastAsia="ko-KR"/>
              </w:rPr>
              <w:t xml:space="preserve"> If this column is retained in the final version, o</w:t>
            </w:r>
            <w:r>
              <w:rPr>
                <w:rFonts w:eastAsia="Malgun Gothic"/>
                <w:lang w:val="en-US" w:eastAsia="ko-KR"/>
              </w:rPr>
              <w:t xml:space="preserve">nly provide suggestions for parameters with agreements. For parameters with no agreement, please do not reference IMT-2020 as the values there have not been thoroughly vetted. Suggest deleting </w:t>
            </w:r>
            <w:r w:rsidR="009B3D05">
              <w:rPr>
                <w:rFonts w:eastAsia="Malgun Gothic"/>
                <w:lang w:val="en-US" w:eastAsia="ko-KR"/>
              </w:rPr>
              <w:t xml:space="preserve">the </w:t>
            </w:r>
            <w:r>
              <w:rPr>
                <w:rFonts w:eastAsia="Malgun Gothic"/>
                <w:lang w:val="en-US" w:eastAsia="ko-KR"/>
              </w:rPr>
              <w:t xml:space="preserve">suggestive text in cells D91, D80, D79, D78, </w:t>
            </w:r>
            <w:r w:rsidR="00F9133B">
              <w:rPr>
                <w:rFonts w:eastAsia="Malgun Gothic"/>
                <w:lang w:val="en-US" w:eastAsia="ko-KR"/>
              </w:rPr>
              <w:t xml:space="preserve">D63. </w:t>
            </w:r>
            <w:r w:rsidR="009B3D05">
              <w:rPr>
                <w:rFonts w:eastAsia="Malgun Gothic"/>
                <w:lang w:val="en-US" w:eastAsia="ko-KR"/>
              </w:rPr>
              <w:t>Qualcomm</w:t>
            </w:r>
            <w:r w:rsidR="00F9133B">
              <w:rPr>
                <w:rFonts w:eastAsia="Malgun Gothic"/>
                <w:lang w:val="en-US" w:eastAsia="ko-KR"/>
              </w:rPr>
              <w:t xml:space="preserve"> may prefer to use other values after checking </w:t>
            </w:r>
            <w:r w:rsidR="009B3D05">
              <w:rPr>
                <w:rFonts w:eastAsia="Malgun Gothic"/>
                <w:lang w:val="en-US" w:eastAsia="ko-KR"/>
              </w:rPr>
              <w:t xml:space="preserve">internally. </w:t>
            </w:r>
          </w:p>
          <w:p w14:paraId="0C4325CC" w14:textId="212F8D6A" w:rsidR="00957CE0" w:rsidRDefault="009B3D05" w:rsidP="00ED7C6F">
            <w:pPr>
              <w:rPr>
                <w:rFonts w:eastAsia="Malgun Gothic"/>
                <w:lang w:val="en-US" w:eastAsia="ko-KR"/>
              </w:rPr>
            </w:pPr>
            <w:r>
              <w:rPr>
                <w:rFonts w:eastAsia="Malgun Gothic"/>
                <w:lang w:val="en-US" w:eastAsia="ko-KR"/>
              </w:rPr>
              <w:t xml:space="preserve">We do not wish to recommend IMT-2020 parameter settings as they are sometimes erroneous and don’t apply across all bands. </w:t>
            </w:r>
          </w:p>
          <w:p w14:paraId="57D330DA" w14:textId="033456B8" w:rsidR="002E40A0" w:rsidRDefault="002E40A0" w:rsidP="00ED7C6F">
            <w:pPr>
              <w:rPr>
                <w:rFonts w:eastAsia="Malgun Gothic" w:hint="eastAsia"/>
                <w:lang w:val="en-US" w:eastAsia="ko-KR"/>
              </w:rPr>
            </w:pPr>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14" w:name="_Toc460164168"/>
      <w:bookmarkStart w:id="15" w:name="_Toc460239646"/>
      <w:bookmarkStart w:id="16" w:name="_Toc460090975"/>
      <w:r>
        <w:t>Annex 1 – Agreements at RAN1#101e</w:t>
      </w:r>
      <w:bookmarkEnd w:id="14"/>
      <w:bookmarkEnd w:id="15"/>
      <w:bookmarkEnd w:id="16"/>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lastRenderedPageBreak/>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 xml:space="preserve">Urban: </w:t>
            </w:r>
            <w:proofErr w:type="spellStart"/>
            <w:r>
              <w:t>NLoS</w:t>
            </w:r>
            <w:proofErr w:type="spellEnd"/>
          </w:p>
          <w:p w14:paraId="37353598" w14:textId="77777777" w:rsidR="00C35115" w:rsidRDefault="00BB7EF1">
            <w:r>
              <w:t xml:space="preserve">Rural: </w:t>
            </w:r>
            <w:proofErr w:type="spellStart"/>
            <w:r>
              <w:t>NLoS</w:t>
            </w:r>
            <w:proofErr w:type="spellEnd"/>
            <w:r>
              <w:t xml:space="preserve"> and </w:t>
            </w:r>
            <w:proofErr w:type="spellStart"/>
            <w:r>
              <w:t>LoS</w:t>
            </w:r>
            <w:proofErr w:type="spellEnd"/>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w:t>
            </w:r>
            <w:proofErr w:type="gramStart"/>
            <w:r>
              <w:t>h  (</w:t>
            </w:r>
            <w:proofErr w:type="gramEnd"/>
            <w:r>
              <w:t>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lastRenderedPageBreak/>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7"/>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w:t>
            </w:r>
            <w:proofErr w:type="spellStart"/>
            <w:proofErr w:type="gram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w:t>
            </w:r>
            <w:proofErr w:type="gramEnd"/>
            <w:r>
              <w:rPr>
                <w:rFonts w:ascii="Arial" w:hAnsi="Arial" w:cs="Arial"/>
                <w:color w:val="FF0000"/>
                <w:sz w:val="21"/>
                <w:szCs w:val="21"/>
                <w:lang w:val="en-GB" w:eastAsia="zh-CN"/>
              </w:rPr>
              <w:t xml:space="preserve">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lastRenderedPageBreak/>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lastRenderedPageBreak/>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lastRenderedPageBreak/>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38A41232" w14:textId="77777777" w:rsidR="00C35115" w:rsidRDefault="00BB7EF1">
      <w:pPr>
        <w:pStyle w:val="BodyText"/>
        <w:numPr>
          <w:ilvl w:val="1"/>
          <w:numId w:val="43"/>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93F62C" w14:textId="77777777" w:rsidR="00C35115" w:rsidRDefault="00BB7EF1">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lastRenderedPageBreak/>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553F8A2" w14:textId="77777777" w:rsidR="00C35115" w:rsidRDefault="00BB7EF1">
            <w:pPr>
              <w:spacing w:line="252" w:lineRule="auto"/>
              <w:rPr>
                <w:color w:val="FF0000"/>
                <w:sz w:val="21"/>
                <w:szCs w:val="21"/>
                <w:lang w:eastAsia="ko-KR"/>
              </w:rPr>
            </w:pPr>
            <w:r>
              <w:rPr>
                <w:sz w:val="21"/>
                <w:szCs w:val="21"/>
                <w:lang w:val="es-US" w:eastAsia="ko-KR"/>
              </w:rPr>
              <w:lastRenderedPageBreak/>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lastRenderedPageBreak/>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48D15EAE" w14:textId="77777777" w:rsidR="00C35115" w:rsidRDefault="00BB7EF1">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BodyText"/>
        <w:numPr>
          <w:ilvl w:val="1"/>
          <w:numId w:val="43"/>
        </w:numPr>
        <w:spacing w:after="0" w:line="312" w:lineRule="auto"/>
        <w:rPr>
          <w:lang w:val="en-GB"/>
        </w:rPr>
      </w:pPr>
      <w:r>
        <w:rPr>
          <w:lang w:val="en-GB"/>
        </w:rPr>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ko-KR"/>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lastRenderedPageBreak/>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proofErr w:type="gramStart"/>
      <w:r>
        <w:rPr>
          <w:lang w:eastAsia="zh-CN"/>
        </w:rPr>
        <w:t>Total</w:t>
      </w:r>
      <w:proofErr w:type="gramEnd"/>
      <w:r>
        <w:rPr>
          <w:lang w:eastAsia="zh-CN"/>
        </w:rPr>
        <w:t xml:space="preserve"> transmit power - Receiver sensitivity + gNB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proofErr w:type="gramStart"/>
      <w:r>
        <w:rPr>
          <w:lang w:eastAsia="zh-CN"/>
        </w:rPr>
        <w:t>Total</w:t>
      </w:r>
      <w:proofErr w:type="gramEnd"/>
      <w:r>
        <w:rPr>
          <w:lang w:eastAsia="zh-CN"/>
        </w:rPr>
        <w:t xml:space="preserve"> transmit power - Receiver sensitivity + gNB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[For LLS based methodology</w:t>
      </w:r>
      <w:proofErr w:type="gramStart"/>
      <w:r>
        <w:t>, ]coverage</w:t>
      </w:r>
      <w:proofErr w:type="gramEnd"/>
      <w:r>
        <w:t xml:space="preserv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lastRenderedPageBreak/>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 xml:space="preserve">2. Service dependent targets, e.g., [MCL=147] dB for </w:t>
      </w:r>
      <w:proofErr w:type="gramStart"/>
      <w:r>
        <w:t>VoIP;</w:t>
      </w:r>
      <w:proofErr w:type="gramEnd"/>
    </w:p>
    <w:p w14:paraId="627CD4EB" w14:textId="77777777" w:rsidR="00C35115" w:rsidRDefault="00BB7EF1">
      <w:pPr>
        <w:numPr>
          <w:ilvl w:val="2"/>
          <w:numId w:val="19"/>
        </w:numPr>
        <w:snapToGrid/>
        <w:spacing w:before="100" w:beforeAutospacing="1" w:line="240" w:lineRule="auto"/>
        <w:jc w:val="left"/>
      </w:pPr>
      <w:r>
        <w:t xml:space="preserve">3. Relative difference between channels, </w:t>
      </w:r>
      <w:proofErr w:type="spellStart"/>
      <w:r>
        <w:t>e.g</w:t>
      </w:r>
      <w:proofErr w:type="spellEnd"/>
      <w:r>
        <w:t>,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lastRenderedPageBreak/>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w:t>
      </w:r>
      <w:proofErr w:type="gramStart"/>
      <w:r>
        <w:rPr>
          <w:lang w:eastAsia="zh-CN"/>
        </w:rPr>
        <w:t>time period</w:t>
      </w:r>
      <w:proofErr w:type="gramEnd"/>
      <w:r>
        <w:rPr>
          <w:lang w:eastAsia="zh-CN"/>
        </w:rPr>
        <w:t xml:space="preserve">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 xml:space="preserve">In addition, 1 second </w:t>
      </w:r>
      <w:proofErr w:type="gramStart"/>
      <w:r>
        <w:rPr>
          <w:lang w:eastAsia="zh-CN"/>
        </w:rPr>
        <w:t>time period</w:t>
      </w:r>
      <w:proofErr w:type="gramEnd"/>
      <w:r>
        <w:rPr>
          <w:lang w:eastAsia="zh-CN"/>
        </w:rPr>
        <w:t xml:space="preserve">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Remove the whole bullets about gNB architectures to study for CDL and gNB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w:t>
      </w:r>
      <w:proofErr w:type="gramStart"/>
      <w:r>
        <w:rPr>
          <w:strike/>
          <w:color w:val="FF0000"/>
        </w:rPr>
        <w:t>   [</w:t>
      </w:r>
      <w:proofErr w:type="gramEnd"/>
      <w:r>
        <w:rPr>
          <w:strike/>
          <w:color w:val="FF0000"/>
        </w:rPr>
        <w:t>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w:t>
      </w:r>
      <w:proofErr w:type="spellStart"/>
      <w:r>
        <w:t>evulation</w:t>
      </w:r>
      <w:proofErr w:type="spellEnd"/>
      <w:r>
        <w:t>,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lastRenderedPageBreak/>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w:t>
      </w:r>
      <w:proofErr w:type="gramStart"/>
      <w:r>
        <w:t>10( N</w:t>
      </w:r>
      <w:proofErr w:type="gramEnd"/>
      <w:r>
        <w:t xml:space="preserve">/k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 xml:space="preserve">The gain of antenna gain components 3 and 4 is expressed by Antenna Element Gain + 10 * log </w:t>
      </w:r>
      <w:proofErr w:type="gramStart"/>
      <w:r>
        <w:t>10( M</w:t>
      </w:r>
      <w:proofErr w:type="gramEnd"/>
      <w:r>
        <w:t>/N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w:t>
      </w:r>
      <w:proofErr w:type="gramStart"/>
      <w:r>
        <w:t>One</w:t>
      </w:r>
      <w:proofErr w:type="gramEnd"/>
      <w:r>
        <w:t xml:space="preserv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 xml:space="preserve">For Rx, </w:t>
      </w:r>
      <w:proofErr w:type="gramStart"/>
      <w:r>
        <w:t>One</w:t>
      </w:r>
      <w:proofErr w:type="gramEnd"/>
      <w:r>
        <w:t xml:space="preserv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w:t>
      </w:r>
      <w:proofErr w:type="gramStart"/>
      <w:r>
        <w:t>No.(</w:t>
      </w:r>
      <w:proofErr w:type="gramEnd"/>
      <w:r>
        <w:t xml:space="preserve">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7087DF53" w14:textId="77777777" w:rsidR="00C35115" w:rsidRDefault="00BB7EF1">
      <w:pPr>
        <w:numPr>
          <w:ilvl w:val="2"/>
          <w:numId w:val="58"/>
        </w:numPr>
        <w:snapToGrid/>
        <w:spacing w:after="0" w:afterAutospacing="0" w:line="240" w:lineRule="auto"/>
        <w:jc w:val="left"/>
      </w:pPr>
      <w:r>
        <w:lastRenderedPageBreak/>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proofErr w:type="gramStart"/>
      <w:r>
        <w:t>Total</w:t>
      </w:r>
      <w:proofErr w:type="gramEnd"/>
      <w:r>
        <w:t xml:space="preserve">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 xml:space="preserve">Total transmit power corresponds to row </w:t>
      </w:r>
      <w:proofErr w:type="gramStart"/>
      <w:r>
        <w:t>No.(</w:t>
      </w:r>
      <w:proofErr w:type="gramEnd"/>
      <w:r>
        <w:t>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proofErr w:type="gramStart"/>
      <w:r>
        <w:t>Total</w:t>
      </w:r>
      <w:proofErr w:type="gramEnd"/>
      <w:r>
        <w:t xml:space="preserve">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proofErr w:type="gramStart"/>
      <w:r>
        <w:t>Total</w:t>
      </w:r>
      <w:proofErr w:type="gramEnd"/>
      <w:r>
        <w:t xml:space="preserve">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w:t>
      </w:r>
      <w:proofErr w:type="gramStart"/>
      <w:r>
        <w:t>11)+</w:t>
      </w:r>
      <w:proofErr w:type="gramEnd"/>
      <w:r>
        <w:t>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ko-KR"/>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ko-KR"/>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lastRenderedPageBreak/>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lastRenderedPageBreak/>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w:t>
      </w:r>
      <w:proofErr w:type="gramStart"/>
      <w:r>
        <w:rPr>
          <w:lang w:val="en-US"/>
        </w:rPr>
        <w:t>LLS.</w:t>
      </w:r>
      <w:proofErr w:type="gramEnd"/>
      <w:r>
        <w:rPr>
          <w:lang w:val="en-US"/>
        </w:rPr>
        <w:t xml:space="preserve">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w:t>
      </w:r>
      <w:proofErr w:type="gramStart"/>
      <w:r>
        <w:rPr>
          <w:lang w:val="en-US"/>
        </w:rPr>
        <w:t>elements.</w:t>
      </w:r>
      <w:proofErr w:type="gramEnd"/>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w:t>
      </w:r>
      <w:proofErr w:type="spellStart"/>
      <w:r>
        <w:t>idealities</w:t>
      </w:r>
      <w:proofErr w:type="spellEnd"/>
      <w:r>
        <w:t xml:space="preserve"> impacting the actual antenna array gain, if </w:t>
      </w:r>
      <w:proofErr w:type="gramStart"/>
      <w:r>
        <w:t>any</w:t>
      </w:r>
      <w:proofErr w:type="gramEnd"/>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lastRenderedPageBreak/>
        <w:t>The values for antenna element gain:</w:t>
      </w:r>
    </w:p>
    <w:p w14:paraId="463661DE" w14:textId="77777777" w:rsidR="00C35115" w:rsidRDefault="00BB7EF1">
      <w:pPr>
        <w:pStyle w:val="ListParagraph"/>
        <w:numPr>
          <w:ilvl w:val="1"/>
          <w:numId w:val="63"/>
        </w:numPr>
        <w:jc w:val="left"/>
        <w:rPr>
          <w:lang w:val="en-US"/>
        </w:rPr>
      </w:pPr>
      <w:r>
        <w:rPr>
          <w:lang w:val="en-US"/>
        </w:rPr>
        <w:t xml:space="preserve">0 </w:t>
      </w:r>
      <w:proofErr w:type="spellStart"/>
      <w:r>
        <w:rPr>
          <w:lang w:val="en-US"/>
        </w:rPr>
        <w:t>dBi</w:t>
      </w:r>
      <w:proofErr w:type="spellEnd"/>
      <w:r>
        <w:rPr>
          <w:lang w:val="en-US"/>
        </w:rPr>
        <w:t xml:space="preserve"> for FR1</w:t>
      </w:r>
    </w:p>
    <w:p w14:paraId="2F554DC7" w14:textId="77777777" w:rsidR="00C35115" w:rsidRDefault="00BB7EF1">
      <w:pPr>
        <w:pStyle w:val="ListParagraph"/>
        <w:numPr>
          <w:ilvl w:val="1"/>
          <w:numId w:val="63"/>
        </w:numPr>
        <w:jc w:val="left"/>
        <w:rPr>
          <w:lang w:val="en-US"/>
        </w:rPr>
      </w:pPr>
      <w:r>
        <w:rPr>
          <w:lang w:val="en-US"/>
        </w:rPr>
        <w:t xml:space="preserve">5 </w:t>
      </w:r>
      <w:proofErr w:type="spellStart"/>
      <w:r>
        <w:rPr>
          <w:lang w:val="en-US"/>
        </w:rPr>
        <w:t>dBi</w:t>
      </w:r>
      <w:proofErr w:type="spellEnd"/>
      <w:r>
        <w:rPr>
          <w:lang w:val="en-US"/>
        </w:rPr>
        <w:t xml:space="preserve">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w:t>
      </w:r>
      <w:proofErr w:type="gramStart"/>
      <w:r>
        <w:t>No.(</w:t>
      </w:r>
      <w:proofErr w:type="gramEnd"/>
      <w:r>
        <w:t xml:space="preserve">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18"/>
      <w:r>
        <w:rPr>
          <w:color w:val="FF0000"/>
        </w:rPr>
        <w:t xml:space="preserve">row No. (5) </w:t>
      </w:r>
      <w:commentRangeEnd w:id="18"/>
      <w:r>
        <w:rPr>
          <w:rStyle w:val="CommentReference"/>
          <w:lang w:eastAsia="zh-CN"/>
        </w:rPr>
        <w:commentReference w:id="18"/>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proofErr w:type="gramStart"/>
      <w:r>
        <w:t>Total</w:t>
      </w:r>
      <w:proofErr w:type="gramEnd"/>
      <w:r>
        <w:t xml:space="preserve"> transmit power – Receiver sensitivity – Rx loss + gNB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 xml:space="preserve">(21a/b) H-ARQ gain” can be used for </w:t>
      </w:r>
      <w:proofErr w:type="gramStart"/>
      <w:r>
        <w:rPr>
          <w:lang w:val="pt-BR" w:eastAsia="zh-CN"/>
        </w:rPr>
        <w:t>companies</w:t>
      </w:r>
      <w:proofErr w:type="gramEnd"/>
      <w:r>
        <w:rPr>
          <w:lang w:val="pt-BR" w:eastAsia="zh-CN"/>
        </w:rPr>
        <w:t xml:space="preserve"> report</w:t>
      </w:r>
    </w:p>
    <w:p w14:paraId="5A0F84F5" w14:textId="77777777" w:rsidR="00C35115" w:rsidRDefault="00BB7EF1">
      <w:pPr>
        <w:pStyle w:val="ListParagraph"/>
        <w:numPr>
          <w:ilvl w:val="0"/>
          <w:numId w:val="65"/>
        </w:numPr>
      </w:pPr>
      <w:r>
        <w:t xml:space="preserve">Note: as per the former agreement, the values for rows (25a/b) (26) (27) (28) and (12) are left to companies’ report, which includes the values for IMT-2020 </w:t>
      </w:r>
      <w:proofErr w:type="spellStart"/>
      <w:r>
        <w:t>self evaluation</w:t>
      </w:r>
      <w:proofErr w:type="spellEnd"/>
      <w:r>
        <w:t xml:space="preserve"> and/or using 0 dB</w:t>
      </w:r>
    </w:p>
    <w:p w14:paraId="206C8538" w14:textId="77777777" w:rsidR="00C35115" w:rsidRDefault="00BB7EF1">
      <w:pPr>
        <w:pStyle w:val="ListParagraph"/>
        <w:numPr>
          <w:ilvl w:val="0"/>
          <w:numId w:val="65"/>
        </w:numPr>
      </w:pPr>
      <w:r>
        <w:t>Note</w:t>
      </w:r>
      <w:proofErr w:type="gramStart"/>
      <w:r>
        <w:t>:  (</w:t>
      </w:r>
      <w:proofErr w:type="gramEnd"/>
      <w:r>
        <w:t>12) Cable, connector, combiner, body losses (Rx side) is not included in MCL, but included in MIL and MPL</w:t>
      </w:r>
    </w:p>
    <w:p w14:paraId="7E3F837E" w14:textId="77777777" w:rsidR="00C35115" w:rsidRDefault="00BB7EF1">
      <w:pPr>
        <w:pStyle w:val="ListParagraph"/>
        <w:numPr>
          <w:ilvl w:val="0"/>
          <w:numId w:val="65"/>
        </w:numPr>
      </w:pPr>
      <w:r>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feeder loss at gNB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footerReference w:type="default" r:id="rId29"/>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kimoto Yosuke" w:date="2020-09-18T15:20:00Z" w:initials="YA">
    <w:p w14:paraId="4123596B" w14:textId="77777777" w:rsidR="001B43D9" w:rsidRDefault="001B43D9">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20CC9" w14:textId="77777777" w:rsidR="00ED7F75" w:rsidRDefault="00ED7F75">
      <w:pPr>
        <w:spacing w:after="0" w:line="240" w:lineRule="auto"/>
      </w:pPr>
      <w:r>
        <w:separator/>
      </w:r>
    </w:p>
  </w:endnote>
  <w:endnote w:type="continuationSeparator" w:id="0">
    <w:p w14:paraId="77C61ABA" w14:textId="77777777" w:rsidR="00ED7F75" w:rsidRDefault="00ED7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544D9" w14:textId="63B463BD" w:rsidR="001B43D9" w:rsidRDefault="001B43D9">
    <w:pPr>
      <w:pStyle w:val="Footer"/>
      <w:spacing w:before="120" w:after="120"/>
      <w:jc w:val="center"/>
    </w:pPr>
    <w:r>
      <w:fldChar w:fldCharType="begin"/>
    </w:r>
    <w:r>
      <w:instrText xml:space="preserve"> PAGE   \* MERGEFORMAT </w:instrText>
    </w:r>
    <w:r>
      <w:fldChar w:fldCharType="separate"/>
    </w:r>
    <w:r w:rsidRPr="002E43B5">
      <w:rPr>
        <w:noProof/>
        <w:lang w:val="ja-JP"/>
      </w:rPr>
      <w:t>33</w:t>
    </w:r>
    <w:r>
      <w:fldChar w:fldCharType="end"/>
    </w:r>
  </w:p>
  <w:p w14:paraId="1E9EF8D3" w14:textId="77777777" w:rsidR="001B43D9" w:rsidRDefault="001B43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B5744" w14:textId="77777777" w:rsidR="00ED7F75" w:rsidRDefault="00ED7F75">
      <w:pPr>
        <w:spacing w:after="0" w:line="240" w:lineRule="auto"/>
      </w:pPr>
      <w:r>
        <w:separator/>
      </w:r>
    </w:p>
  </w:footnote>
  <w:footnote w:type="continuationSeparator" w:id="0">
    <w:p w14:paraId="69450D86" w14:textId="77777777" w:rsidR="00ED7F75" w:rsidRDefault="00ED7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5C2"/>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657"/>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3D9"/>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2B5"/>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40A0"/>
    <w:rsid w:val="002E43B5"/>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530"/>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2F1"/>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7F4"/>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1B8"/>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57CE0"/>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3D05"/>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C6D"/>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2CF4"/>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328"/>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D7C6F"/>
    <w:rsid w:val="00ED7F75"/>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9F3"/>
    <w:rsid w:val="00F82D80"/>
    <w:rsid w:val="00F82EBC"/>
    <w:rsid w:val="00F83715"/>
    <w:rsid w:val="00F85CDC"/>
    <w:rsid w:val="00F86714"/>
    <w:rsid w:val="00F86949"/>
    <w:rsid w:val="00F9133B"/>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6DCB"/>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5023A37D-809C-4C90-9205-9D03D331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13238</Words>
  <Characters>75462</Characters>
  <Application>Microsoft Office Word</Application>
  <DocSecurity>0</DocSecurity>
  <Lines>628</Lines>
  <Paragraphs>177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 Co.,Ltd.</Company>
  <LinksUpToDate>false</LinksUpToDate>
  <CharactersWithSpaces>88523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Gokul Sridharan</cp:lastModifiedBy>
  <cp:revision>2</cp:revision>
  <dcterms:created xsi:type="dcterms:W3CDTF">2020-09-28T08:56:00Z</dcterms:created>
  <dcterms:modified xsi:type="dcterms:W3CDTF">2020-09-28T08:56:00Z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