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w:t>
      </w:r>
      <w:proofErr w:type="gramStart"/>
      <w:r>
        <w:t>companies</w:t>
      </w:r>
      <w:proofErr w:type="gramEnd"/>
      <w:r>
        <w:t xml:space="preserve">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w:t>
      </w:r>
      <w:r>
        <w:rPr>
          <w:rFonts w:ascii="Times New Roman" w:eastAsiaTheme="minorEastAsia" w:hAnsi="Times New Roman"/>
          <w:sz w:val="20"/>
          <w:szCs w:val="20"/>
          <w:lang w:eastAsia="zh-CN"/>
        </w:rPr>
        <w:lastRenderedPageBreak/>
        <w:t>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w:t>
      </w:r>
      <w:proofErr w:type="gramStart"/>
      <w:r>
        <w:rPr>
          <w:rFonts w:ascii="Times New Roman" w:eastAsiaTheme="minorEastAsia" w:hAnsi="Times New Roman"/>
          <w:sz w:val="20"/>
          <w:szCs w:val="20"/>
          <w:lang w:eastAsia="zh-CN"/>
        </w:rPr>
        <w:t>)are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lastRenderedPageBreak/>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lastRenderedPageBreak/>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lastRenderedPageBreak/>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xml:space="preserve">, e.g., short DRX cycle, </w:t>
            </w:r>
            <w:proofErr w:type="spellStart"/>
            <w:r w:rsidR="006951A2" w:rsidRPr="005C56CD">
              <w:rPr>
                <w:rFonts w:ascii="Times New Roman" w:hAnsi="Times New Roman"/>
                <w:b/>
                <w:sz w:val="20"/>
                <w:szCs w:val="20"/>
              </w:rPr>
              <w:t>SCell</w:t>
            </w:r>
            <w:proofErr w:type="spellEnd"/>
            <w:r w:rsidR="006951A2" w:rsidRPr="005C56CD">
              <w:rPr>
                <w:rFonts w:ascii="Times New Roman" w:hAnsi="Times New Roman"/>
                <w:b/>
                <w:sz w:val="20"/>
                <w:szCs w:val="20"/>
              </w:rPr>
              <w:t xml:space="preserve">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 xml:space="preserve">All Rel-16 power saving features, such as DRX adaptation for long DRX, cross-slot scheduling, maximum MIMO layer adaptation, </w:t>
            </w:r>
            <w:proofErr w:type="spellStart"/>
            <w:r>
              <w:t>SCell</w:t>
            </w:r>
            <w:proofErr w:type="spellEnd"/>
            <w:r>
              <w:t xml:space="preserve">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proofErr w:type="spellStart"/>
            <w:r w:rsidRPr="00FB579B">
              <w:rPr>
                <w:rFonts w:ascii="Times New Roman" w:hAnsi="Times New Roman"/>
                <w:b/>
                <w:color w:val="FF0000"/>
                <w:sz w:val="20"/>
                <w:szCs w:val="20"/>
                <w:highlight w:val="yellow"/>
              </w:rPr>
              <w:t>SCell</w:t>
            </w:r>
            <w:proofErr w:type="spellEnd"/>
            <w:r w:rsidRPr="00FB579B">
              <w:rPr>
                <w:rFonts w:ascii="Times New Roman" w:hAnsi="Times New Roman"/>
                <w:b/>
                <w:color w:val="FF0000"/>
                <w:sz w:val="20"/>
                <w:szCs w:val="20"/>
                <w:highlight w:val="yellow"/>
              </w:rPr>
              <w:t xml:space="preserve">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xml:space="preserve">, e.g., short DRX cycle, </w:t>
            </w:r>
            <w:proofErr w:type="spellStart"/>
            <w:r w:rsidRPr="00934474">
              <w:rPr>
                <w:b/>
                <w:strike/>
                <w:color w:val="FF0000"/>
                <w:highlight w:val="yellow"/>
              </w:rPr>
              <w:t>SCell</w:t>
            </w:r>
            <w:proofErr w:type="spellEnd"/>
            <w:r w:rsidRPr="00934474">
              <w:rPr>
                <w:b/>
                <w:strike/>
                <w:color w:val="FF0000"/>
                <w:highlight w:val="yellow"/>
              </w:rPr>
              <w:t xml:space="preserve">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3C89035B" w14:textId="77777777" w:rsidR="00C909DB" w:rsidRPr="00AE0735" w:rsidRDefault="00C909DB" w:rsidP="00C909DB">
            <w:pPr>
              <w:rPr>
                <w:b/>
                <w:highlight w:val="yellow"/>
                <w:u w:val="single"/>
                <w:lang w:eastAsia="zh-CN"/>
              </w:rPr>
            </w:pPr>
            <w:r w:rsidRPr="00AE0735">
              <w:rPr>
                <w:b/>
                <w:highlight w:val="yellow"/>
                <w:u w:val="single"/>
                <w:lang w:eastAsia="zh-CN"/>
              </w:rPr>
              <w:t>Proposal 1:</w:t>
            </w:r>
          </w:p>
          <w:p w14:paraId="3BF8644F" w14:textId="77777777" w:rsidR="00C909DB" w:rsidRPr="00C909DB" w:rsidRDefault="00C909DB" w:rsidP="00593A7B">
            <w:pPr>
              <w:pStyle w:val="ListParagraph"/>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sidRPr="00C909DB">
              <w:rPr>
                <w:rFonts w:ascii="Times New Roman" w:hAnsi="Times New Roman"/>
                <w:b/>
                <w:sz w:val="20"/>
                <w:szCs w:val="20"/>
                <w:highlight w:val="yellow"/>
              </w:rPr>
              <w:t>ActiveTime</w:t>
            </w:r>
            <w:proofErr w:type="spellEnd"/>
            <w:r w:rsidRPr="00C909DB">
              <w:rPr>
                <w:rFonts w:ascii="Times New Roman" w:hAnsi="Times New Roman"/>
                <w:b/>
                <w:sz w:val="20"/>
                <w:szCs w:val="20"/>
                <w:highlight w:val="yellow"/>
              </w:rPr>
              <w:t>.</w:t>
            </w:r>
          </w:p>
          <w:p w14:paraId="4E805380" w14:textId="1B33F800" w:rsidR="00C909DB" w:rsidRPr="00C909DB" w:rsidRDefault="00C909DB" w:rsidP="00593A7B">
            <w:pPr>
              <w:pStyle w:val="ListParagraph"/>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0A39964E" w14:textId="77777777" w:rsidR="00C909DB" w:rsidRPr="00C909DB" w:rsidRDefault="00C909DB" w:rsidP="00593A7B">
            <w:pPr>
              <w:pStyle w:val="ListParagraph"/>
              <w:numPr>
                <w:ilvl w:val="1"/>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DRX</w:t>
            </w:r>
          </w:p>
          <w:p w14:paraId="5E47E0E9"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40msec for VoIP</w:t>
            </w:r>
          </w:p>
          <w:p w14:paraId="068C3BCA"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CDE727F"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Assume max two packets bundled</w:t>
            </w:r>
          </w:p>
          <w:p w14:paraId="0CDB623C"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160msec for FTP</w:t>
            </w:r>
          </w:p>
          <w:p w14:paraId="57544115"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1: 100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56519FB0"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2: 20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146813B5"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3: short DRX</w:t>
            </w:r>
          </w:p>
          <w:p w14:paraId="77C8C863" w14:textId="77777777" w:rsidR="00C909DB" w:rsidRPr="00C909DB" w:rsidRDefault="00C909DB" w:rsidP="00593A7B">
            <w:pPr>
              <w:pStyle w:val="ListParagraph"/>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IAT, 8ms On-duration</w:t>
            </w:r>
          </w:p>
          <w:p w14:paraId="6CBC82A9" w14:textId="77777777" w:rsidR="00C909DB" w:rsidRPr="00C909DB" w:rsidRDefault="00C909DB" w:rsidP="00593A7B">
            <w:pPr>
              <w:pStyle w:val="ListParagraph"/>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for short DRX cycle, 4 cycles</w:t>
            </w:r>
          </w:p>
          <w:p w14:paraId="16ED819C"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lastRenderedPageBreak/>
              <w:t>[C-DRX cycle 40ms for ‘additional traffic model’ defined in Rel-17</w:t>
            </w:r>
          </w:p>
          <w:p w14:paraId="4015386B" w14:textId="48DDE049"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FA6E5D8" w14:textId="7ED21774" w:rsidR="00C909DB" w:rsidRPr="00C909DB" w:rsidRDefault="00914830" w:rsidP="00593A7B">
            <w:pPr>
              <w:numPr>
                <w:ilvl w:val="1"/>
                <w:numId w:val="61"/>
              </w:numPr>
              <w:spacing w:before="0" w:after="0"/>
              <w:rPr>
                <w:b/>
                <w:highlight w:val="yellow"/>
              </w:rPr>
            </w:pPr>
            <w:r w:rsidRPr="00C909DB">
              <w:rPr>
                <w:b/>
                <w:highlight w:val="yellow"/>
              </w:rPr>
              <w:t xml:space="preserve">DCP </w:t>
            </w:r>
            <w:r>
              <w:rPr>
                <w:b/>
                <w:highlight w:val="yellow"/>
              </w:rPr>
              <w:t>for DRX adaptation</w:t>
            </w:r>
            <w:r w:rsidR="00C909DB" w:rsidRPr="00C909DB">
              <w:rPr>
                <w:b/>
                <w:highlight w:val="yellow"/>
              </w:rPr>
              <w:t>,</w:t>
            </w:r>
          </w:p>
          <w:p w14:paraId="50CC7479" w14:textId="77777777" w:rsidR="00C909DB" w:rsidRPr="00C909DB" w:rsidRDefault="00C909DB" w:rsidP="00593A7B">
            <w:pPr>
              <w:numPr>
                <w:ilvl w:val="2"/>
                <w:numId w:val="61"/>
              </w:numPr>
              <w:spacing w:before="0" w:after="0"/>
              <w:rPr>
                <w:b/>
                <w:highlight w:val="yellow"/>
              </w:rPr>
            </w:pPr>
            <w:r w:rsidRPr="00C909DB">
              <w:rPr>
                <w:b/>
                <w:highlight w:val="yellow"/>
              </w:rPr>
              <w:t xml:space="preserve">DCP offset  to DRX on = 3 </w:t>
            </w:r>
            <w:proofErr w:type="spellStart"/>
            <w:r w:rsidRPr="00C909DB">
              <w:rPr>
                <w:b/>
                <w:highlight w:val="yellow"/>
              </w:rPr>
              <w:t>ms</w:t>
            </w:r>
            <w:proofErr w:type="spellEnd"/>
          </w:p>
          <w:p w14:paraId="4E9D1A1A" w14:textId="77777777" w:rsidR="00C909DB" w:rsidRPr="00C909DB" w:rsidRDefault="00C909DB" w:rsidP="00593A7B">
            <w:pPr>
              <w:numPr>
                <w:ilvl w:val="1"/>
                <w:numId w:val="61"/>
              </w:numPr>
              <w:spacing w:before="0" w:after="0"/>
              <w:rPr>
                <w:b/>
                <w:highlight w:val="yellow"/>
              </w:rPr>
            </w:pPr>
            <w:r w:rsidRPr="00C909DB">
              <w:rPr>
                <w:b/>
                <w:highlight w:val="yellow"/>
              </w:rPr>
              <w:t>Cross-slot scheduling adaptation</w:t>
            </w:r>
          </w:p>
          <w:p w14:paraId="7BFF309B" w14:textId="77777777" w:rsidR="00C909DB" w:rsidRPr="00C909DB" w:rsidRDefault="00C909DB" w:rsidP="00593A7B">
            <w:pPr>
              <w:numPr>
                <w:ilvl w:val="2"/>
                <w:numId w:val="61"/>
              </w:numPr>
              <w:spacing w:before="0" w:after="0"/>
              <w:rPr>
                <w:b/>
                <w:highlight w:val="yellow"/>
              </w:rPr>
            </w:pPr>
            <w:r w:rsidRPr="00C909DB">
              <w:rPr>
                <w:b/>
                <w:highlight w:val="yellow"/>
              </w:rPr>
              <w:t>Minimum K0 can be adapted from 0 to 1 for FR1, 0 to [4] for FR2</w:t>
            </w:r>
          </w:p>
          <w:p w14:paraId="07F8B05C" w14:textId="77777777" w:rsidR="00C909DB" w:rsidRPr="00C909DB" w:rsidRDefault="00C909DB" w:rsidP="00593A7B">
            <w:pPr>
              <w:numPr>
                <w:ilvl w:val="1"/>
                <w:numId w:val="61"/>
              </w:numPr>
              <w:spacing w:before="0" w:after="0"/>
              <w:rPr>
                <w:b/>
                <w:highlight w:val="yellow"/>
              </w:rPr>
            </w:pPr>
            <w:r w:rsidRPr="00C909DB">
              <w:rPr>
                <w:b/>
                <w:highlight w:val="yellow"/>
              </w:rPr>
              <w:t>BWP switching, including</w:t>
            </w:r>
          </w:p>
          <w:p w14:paraId="6A926B3F" w14:textId="77777777" w:rsidR="00C909DB" w:rsidRPr="00C909DB" w:rsidRDefault="00C909DB" w:rsidP="00593A7B">
            <w:pPr>
              <w:numPr>
                <w:ilvl w:val="2"/>
                <w:numId w:val="61"/>
              </w:numPr>
              <w:spacing w:before="0" w:after="0"/>
              <w:rPr>
                <w:b/>
                <w:highlight w:val="yellow"/>
              </w:rPr>
            </w:pPr>
            <w:r w:rsidRPr="00C909DB">
              <w:rPr>
                <w:b/>
                <w:highlight w:val="yellow"/>
              </w:rPr>
              <w:t>MIMO layer adaptation,</w:t>
            </w:r>
          </w:p>
          <w:p w14:paraId="0E294813" w14:textId="77777777" w:rsidR="00C909DB" w:rsidRPr="00C909DB" w:rsidRDefault="00C909DB" w:rsidP="00593A7B">
            <w:pPr>
              <w:numPr>
                <w:ilvl w:val="3"/>
                <w:numId w:val="61"/>
              </w:numPr>
              <w:spacing w:before="0" w:after="0"/>
              <w:rPr>
                <w:b/>
                <w:highlight w:val="yellow"/>
              </w:rPr>
            </w:pPr>
            <w:r w:rsidRPr="00C909DB">
              <w:rPr>
                <w:b/>
                <w:highlight w:val="yellow"/>
              </w:rPr>
              <w:t xml:space="preserve">Max # of MIMO layer can be adapted from 4 layer to 2 </w:t>
            </w:r>
            <w:proofErr w:type="spellStart"/>
            <w:r w:rsidRPr="00C909DB">
              <w:rPr>
                <w:b/>
                <w:highlight w:val="yellow"/>
              </w:rPr>
              <w:t>layerfor</w:t>
            </w:r>
            <w:proofErr w:type="spellEnd"/>
            <w:r w:rsidRPr="00C909DB">
              <w:rPr>
                <w:b/>
                <w:highlight w:val="yellow"/>
              </w:rPr>
              <w:t xml:space="preserve"> FR21, 2 layer to 1 layer for FR2</w:t>
            </w:r>
          </w:p>
          <w:p w14:paraId="60BEC1DD" w14:textId="77777777" w:rsidR="00C909DB" w:rsidRPr="00C909DB" w:rsidRDefault="00C909DB" w:rsidP="00593A7B">
            <w:pPr>
              <w:numPr>
                <w:ilvl w:val="2"/>
                <w:numId w:val="61"/>
              </w:numPr>
              <w:spacing w:before="0" w:after="0"/>
              <w:rPr>
                <w:b/>
                <w:highlight w:val="yellow"/>
              </w:rPr>
            </w:pPr>
            <w:r w:rsidRPr="00C909DB">
              <w:rPr>
                <w:b/>
                <w:highlight w:val="yellow"/>
              </w:rPr>
              <w:t>PDCCH monitoring period adaptation</w:t>
            </w:r>
          </w:p>
          <w:p w14:paraId="112027A2" w14:textId="77777777" w:rsidR="00C909DB" w:rsidRPr="00C909DB" w:rsidRDefault="00C909DB" w:rsidP="00593A7B">
            <w:pPr>
              <w:numPr>
                <w:ilvl w:val="3"/>
                <w:numId w:val="61"/>
              </w:numPr>
              <w:spacing w:before="0" w:after="0"/>
              <w:rPr>
                <w:b/>
                <w:highlight w:val="yellow"/>
              </w:rPr>
            </w:pPr>
            <w:r w:rsidRPr="00C909DB">
              <w:rPr>
                <w:b/>
                <w:highlight w:val="yellow"/>
              </w:rPr>
              <w:t>PDCCH monitoring period can be adapted from per slot monitoring to [X] slot monitoring</w:t>
            </w:r>
          </w:p>
          <w:p w14:paraId="199D3E5B" w14:textId="77777777" w:rsidR="00C909DB" w:rsidRPr="00C909DB" w:rsidRDefault="00C909DB" w:rsidP="00593A7B">
            <w:pPr>
              <w:numPr>
                <w:ilvl w:val="2"/>
                <w:numId w:val="61"/>
              </w:numPr>
              <w:spacing w:before="0" w:after="0"/>
              <w:rPr>
                <w:b/>
                <w:highlight w:val="yellow"/>
              </w:rPr>
            </w:pPr>
            <w:r w:rsidRPr="00C909DB">
              <w:rPr>
                <w:b/>
                <w:highlight w:val="yellow"/>
              </w:rPr>
              <w:t>Bandwidth adaptation</w:t>
            </w:r>
          </w:p>
          <w:p w14:paraId="406DEDFE" w14:textId="3FE18E52" w:rsidR="00C909DB" w:rsidRPr="00C909DB" w:rsidRDefault="00C909DB" w:rsidP="00593A7B">
            <w:pPr>
              <w:numPr>
                <w:ilvl w:val="3"/>
                <w:numId w:val="61"/>
              </w:numPr>
              <w:spacing w:before="0" w:after="0"/>
              <w:rPr>
                <w:b/>
                <w:highlight w:val="yellow"/>
              </w:rPr>
            </w:pPr>
            <w:r w:rsidRPr="00C909DB">
              <w:rPr>
                <w:b/>
                <w:highlight w:val="yellow"/>
              </w:rPr>
              <w:t xml:space="preserve">Bandwidth can be adapted from 100MHz to 20MHz for FR1, </w:t>
            </w:r>
            <w:r w:rsidR="00496F27">
              <w:rPr>
                <w:b/>
                <w:highlight w:val="yellow"/>
              </w:rPr>
              <w:t>[</w:t>
            </w:r>
            <w:r w:rsidRPr="00C909DB">
              <w:rPr>
                <w:b/>
                <w:highlight w:val="yellow"/>
              </w:rPr>
              <w:t>200</w:t>
            </w:r>
            <w:r w:rsidR="00496F27">
              <w:rPr>
                <w:b/>
                <w:highlight w:val="yellow"/>
              </w:rPr>
              <w:t>]</w:t>
            </w:r>
            <w:r w:rsidRPr="00C909DB">
              <w:rPr>
                <w:b/>
                <w:highlight w:val="yellow"/>
              </w:rPr>
              <w:t xml:space="preserve">MHz to </w:t>
            </w:r>
            <w:r w:rsidR="00496F27">
              <w:rPr>
                <w:b/>
                <w:highlight w:val="yellow"/>
              </w:rPr>
              <w:t>[</w:t>
            </w:r>
            <w:r w:rsidRPr="00C909DB">
              <w:rPr>
                <w:b/>
                <w:highlight w:val="yellow"/>
              </w:rPr>
              <w:t>100</w:t>
            </w:r>
            <w:r w:rsidR="00496F27">
              <w:rPr>
                <w:b/>
                <w:highlight w:val="yellow"/>
              </w:rPr>
              <w:t>]</w:t>
            </w:r>
            <w:r w:rsidRPr="00C909DB">
              <w:rPr>
                <w:b/>
                <w:highlight w:val="yellow"/>
              </w:rPr>
              <w:t>MHz for FR2</w:t>
            </w:r>
          </w:p>
          <w:p w14:paraId="5450074F" w14:textId="77777777" w:rsidR="00C909DB" w:rsidRPr="00C909DB" w:rsidRDefault="00C909DB" w:rsidP="00593A7B">
            <w:pPr>
              <w:numPr>
                <w:ilvl w:val="2"/>
                <w:numId w:val="61"/>
              </w:numPr>
              <w:spacing w:before="0" w:after="0"/>
              <w:rPr>
                <w:b/>
                <w:highlight w:val="yellow"/>
              </w:rPr>
            </w:pPr>
            <w:r w:rsidRPr="00C909DB">
              <w:rPr>
                <w:b/>
                <w:highlight w:val="yellow"/>
              </w:rPr>
              <w:t xml:space="preserve">Note: </w:t>
            </w:r>
          </w:p>
          <w:p w14:paraId="79531FF8" w14:textId="15E83775" w:rsidR="00C909DB" w:rsidRPr="00C909DB" w:rsidRDefault="00C909DB" w:rsidP="00593A7B">
            <w:pPr>
              <w:numPr>
                <w:ilvl w:val="3"/>
                <w:numId w:val="61"/>
              </w:numPr>
              <w:spacing w:before="0" w:after="0"/>
              <w:rPr>
                <w:b/>
                <w:highlight w:val="yellow"/>
              </w:rPr>
            </w:pPr>
            <w:r w:rsidRPr="00C909DB">
              <w:rPr>
                <w:b/>
                <w:highlight w:val="yellow"/>
                <w:lang w:val="en-GB"/>
              </w:rPr>
              <w:t>BWP transition time type 2 is assumed, BWP transition duration</w:t>
            </w:r>
            <w:r>
              <w:rPr>
                <w:b/>
                <w:highlight w:val="yellow"/>
                <w:lang w:val="en-GB"/>
              </w:rPr>
              <w:t xml:space="preserve"> is</w:t>
            </w:r>
          </w:p>
          <w:p w14:paraId="67A94C22" w14:textId="54F04365" w:rsidR="00C909DB" w:rsidRPr="0006413F" w:rsidRDefault="00C909DB" w:rsidP="00593A7B">
            <w:pPr>
              <w:numPr>
                <w:ilvl w:val="4"/>
                <w:numId w:val="62"/>
              </w:numPr>
              <w:spacing w:before="0" w:after="0"/>
              <w:rPr>
                <w:b/>
                <w:highlight w:val="yellow"/>
              </w:rPr>
            </w:pPr>
            <w:r w:rsidRPr="0006413F">
              <w:rPr>
                <w:b/>
                <w:highlight w:val="yellow"/>
                <w:lang w:val="en-GB"/>
              </w:rPr>
              <w:t xml:space="preserve">5 slot @ 30kHz SCS for FR1, </w:t>
            </w:r>
          </w:p>
          <w:p w14:paraId="1D3539F8" w14:textId="3419EB19" w:rsidR="00C909DB" w:rsidRPr="0006413F" w:rsidRDefault="00C909DB" w:rsidP="00593A7B">
            <w:pPr>
              <w:numPr>
                <w:ilvl w:val="4"/>
                <w:numId w:val="62"/>
              </w:numPr>
              <w:spacing w:before="0" w:after="0"/>
              <w:rPr>
                <w:b/>
                <w:highlight w:val="yellow"/>
              </w:rPr>
            </w:pPr>
            <w:r w:rsidRPr="0006413F">
              <w:rPr>
                <w:b/>
                <w:highlight w:val="yellow"/>
                <w:lang w:val="en-GB"/>
              </w:rPr>
              <w:t>18 slot@120kHz SCS for FR2</w:t>
            </w:r>
          </w:p>
          <w:p w14:paraId="2056599A" w14:textId="236013C9" w:rsidR="00C909DB" w:rsidRPr="0006413F" w:rsidRDefault="00C909DB" w:rsidP="00593A7B">
            <w:pPr>
              <w:numPr>
                <w:ilvl w:val="4"/>
                <w:numId w:val="62"/>
              </w:numPr>
              <w:spacing w:before="0" w:after="0"/>
              <w:rPr>
                <w:b/>
                <w:highlight w:val="yellow"/>
                <w:lang w:val="en-GB"/>
              </w:rPr>
            </w:pPr>
            <w:r w:rsidRPr="0006413F">
              <w:rPr>
                <w:b/>
                <w:highlight w:val="yellow"/>
                <w:lang w:val="en-GB"/>
              </w:rPr>
              <w:t>the slot-average power level for BWP transition duration is according to TR38.840</w:t>
            </w:r>
          </w:p>
          <w:p w14:paraId="1DFD9186" w14:textId="72AAFB22" w:rsidR="00C909DB" w:rsidRPr="0006413F" w:rsidRDefault="00C909DB" w:rsidP="00593A7B">
            <w:pPr>
              <w:numPr>
                <w:ilvl w:val="3"/>
                <w:numId w:val="61"/>
              </w:numPr>
              <w:spacing w:before="0" w:after="0"/>
              <w:rPr>
                <w:b/>
                <w:highlight w:val="yellow"/>
              </w:rPr>
            </w:pPr>
            <w:r w:rsidRPr="0006413F">
              <w:rPr>
                <w:b/>
                <w:highlight w:val="yellow"/>
              </w:rPr>
              <w:t>BWP switching indication is [Y] (</w:t>
            </w:r>
            <w:proofErr w:type="spellStart"/>
            <w:r w:rsidRPr="0006413F">
              <w:rPr>
                <w:b/>
                <w:highlight w:val="yellow"/>
              </w:rPr>
              <w:t>ms</w:t>
            </w:r>
            <w:proofErr w:type="spellEnd"/>
            <w:r w:rsidRPr="0006413F">
              <w:rPr>
                <w:b/>
                <w:highlight w:val="yellow"/>
              </w:rPr>
              <w:t>) after last PDSCH of a packet/data burst</w:t>
            </w:r>
            <w:r w:rsidR="00914830">
              <w:rPr>
                <w:b/>
                <w:highlight w:val="yellow"/>
              </w:rPr>
              <w:t>.</w:t>
            </w:r>
            <w:r w:rsidRPr="0006413F">
              <w:rPr>
                <w:b/>
                <w:highlight w:val="yellow"/>
              </w:rPr>
              <w:t xml:space="preserve"> </w:t>
            </w:r>
          </w:p>
          <w:p w14:paraId="23C47E86" w14:textId="77777777" w:rsidR="00C909DB" w:rsidRDefault="00C909DB" w:rsidP="00593A7B">
            <w:pPr>
              <w:numPr>
                <w:ilvl w:val="3"/>
                <w:numId w:val="61"/>
              </w:numPr>
              <w:spacing w:before="0" w:after="0"/>
              <w:rPr>
                <w:b/>
                <w:highlight w:val="yellow"/>
              </w:rPr>
            </w:pPr>
            <w:r w:rsidRPr="0006413F">
              <w:rPr>
                <w:b/>
                <w:highlight w:val="yellow"/>
              </w:rPr>
              <w:t>Whether BWP switching is modeled depends on the assumed UE capability and evaluated schemes.</w:t>
            </w:r>
          </w:p>
          <w:p w14:paraId="5BAEC563" w14:textId="77777777" w:rsidR="00914830" w:rsidRPr="0006413F" w:rsidRDefault="00914830" w:rsidP="00593A7B">
            <w:pPr>
              <w:numPr>
                <w:ilvl w:val="1"/>
                <w:numId w:val="61"/>
              </w:numPr>
              <w:spacing w:before="0" w:after="0"/>
              <w:rPr>
                <w:b/>
                <w:highlight w:val="yellow"/>
              </w:rPr>
            </w:pPr>
            <w:proofErr w:type="spellStart"/>
            <w:r w:rsidRPr="0006413F">
              <w:rPr>
                <w:b/>
                <w:highlight w:val="yellow"/>
              </w:rPr>
              <w:t>Scell</w:t>
            </w:r>
            <w:proofErr w:type="spellEnd"/>
            <w:r w:rsidRPr="0006413F">
              <w:rPr>
                <w:b/>
                <w:highlight w:val="yellow"/>
              </w:rPr>
              <w:t xml:space="preserve"> dormancy </w:t>
            </w:r>
            <w:r>
              <w:rPr>
                <w:b/>
                <w:highlight w:val="yellow"/>
              </w:rPr>
              <w:t xml:space="preserve">assumption </w:t>
            </w:r>
            <w:r w:rsidRPr="0006413F">
              <w:rPr>
                <w:b/>
                <w:highlight w:val="yellow"/>
              </w:rPr>
              <w:t>for CA capable UEs</w:t>
            </w:r>
          </w:p>
          <w:p w14:paraId="4D9EAF10" w14:textId="7EF26EB6" w:rsidR="00914830" w:rsidRPr="00914830" w:rsidRDefault="00914830" w:rsidP="00593A7B">
            <w:pPr>
              <w:numPr>
                <w:ilvl w:val="2"/>
                <w:numId w:val="61"/>
              </w:numPr>
              <w:spacing w:before="0" w:after="0"/>
              <w:rPr>
                <w:b/>
                <w:highlight w:val="yellow"/>
              </w:rPr>
            </w:pPr>
            <w:r w:rsidRPr="0006413F">
              <w:rPr>
                <w:b/>
                <w:highlight w:val="yellow"/>
              </w:rPr>
              <w:t xml:space="preserve">FR1 &amp; FR2: </w:t>
            </w:r>
            <w:proofErr w:type="spellStart"/>
            <w:r w:rsidRPr="0006413F">
              <w:rPr>
                <w:b/>
                <w:highlight w:val="yellow"/>
              </w:rPr>
              <w:t>SCell</w:t>
            </w:r>
            <w:proofErr w:type="spellEnd"/>
            <w:r w:rsidRPr="0006413F">
              <w:rPr>
                <w:b/>
                <w:highlight w:val="yellow"/>
              </w:rPr>
              <w:t xml:space="preserve"> dormancy with 160 </w:t>
            </w:r>
            <w:proofErr w:type="spellStart"/>
            <w:r w:rsidRPr="0006413F">
              <w:rPr>
                <w:b/>
                <w:highlight w:val="yellow"/>
              </w:rPr>
              <w:t>ms</w:t>
            </w:r>
            <w:proofErr w:type="spellEnd"/>
            <w:r w:rsidRPr="0006413F">
              <w:rPr>
                <w:b/>
                <w:highlight w:val="yellow"/>
              </w:rPr>
              <w:t xml:space="preserve"> periodic CSI measurement and reporting</w:t>
            </w:r>
          </w:p>
          <w:p w14:paraId="0E2D007F" w14:textId="77777777" w:rsidR="006E5D8F" w:rsidRPr="0006413F" w:rsidRDefault="00593A7B" w:rsidP="00593A7B">
            <w:pPr>
              <w:numPr>
                <w:ilvl w:val="0"/>
                <w:numId w:val="61"/>
              </w:numPr>
              <w:spacing w:before="0" w:after="0"/>
              <w:rPr>
                <w:b/>
                <w:highlight w:val="yellow"/>
              </w:rPr>
            </w:pPr>
            <w:r w:rsidRPr="0006413F">
              <w:rPr>
                <w:b/>
                <w:highlight w:val="yellow"/>
              </w:rPr>
              <w:t>Other settings</w:t>
            </w:r>
          </w:p>
          <w:p w14:paraId="6F78CC52" w14:textId="0DE52230" w:rsidR="006E5D8F" w:rsidRPr="0006413F" w:rsidRDefault="00593A7B" w:rsidP="00593A7B">
            <w:pPr>
              <w:numPr>
                <w:ilvl w:val="1"/>
                <w:numId w:val="61"/>
              </w:numPr>
              <w:spacing w:before="0" w:after="0"/>
              <w:rPr>
                <w:b/>
                <w:highlight w:val="yellow"/>
              </w:rPr>
            </w:pPr>
            <w:r w:rsidRPr="0006413F">
              <w:rPr>
                <w:b/>
                <w:highlight w:val="yellow"/>
              </w:rPr>
              <w:t>CA assumption if configured</w:t>
            </w:r>
            <w:r w:rsidR="0006413F" w:rsidRPr="0006413F">
              <w:rPr>
                <w:b/>
                <w:highlight w:val="yellow"/>
              </w:rPr>
              <w:t xml:space="preserve"> for CA capable UEs</w:t>
            </w:r>
          </w:p>
          <w:p w14:paraId="08434ADF" w14:textId="77777777" w:rsidR="006E5D8F" w:rsidRPr="0006413F" w:rsidRDefault="00593A7B" w:rsidP="00593A7B">
            <w:pPr>
              <w:numPr>
                <w:ilvl w:val="2"/>
                <w:numId w:val="61"/>
              </w:numPr>
              <w:spacing w:before="0" w:after="0"/>
              <w:rPr>
                <w:b/>
                <w:highlight w:val="yellow"/>
              </w:rPr>
            </w:pPr>
            <w:r w:rsidRPr="0006413F">
              <w:rPr>
                <w:b/>
                <w:highlight w:val="yellow"/>
              </w:rPr>
              <w:t>For FR1, FFS</w:t>
            </w:r>
          </w:p>
          <w:p w14:paraId="189C01D7" w14:textId="77777777" w:rsidR="006E5D8F" w:rsidRPr="0006413F" w:rsidRDefault="00593A7B" w:rsidP="00593A7B">
            <w:pPr>
              <w:numPr>
                <w:ilvl w:val="2"/>
                <w:numId w:val="61"/>
              </w:numPr>
              <w:spacing w:before="0" w:after="0"/>
              <w:rPr>
                <w:b/>
                <w:highlight w:val="yellow"/>
              </w:rPr>
            </w:pPr>
            <w:r w:rsidRPr="0006413F">
              <w:rPr>
                <w:b/>
                <w:highlight w:val="yellow"/>
              </w:rPr>
              <w:t>For FR2, 4*100MHz can be considered.</w:t>
            </w:r>
          </w:p>
          <w:p w14:paraId="2FFF89B1" w14:textId="77777777" w:rsidR="006E5D8F" w:rsidRPr="0006413F" w:rsidRDefault="00593A7B" w:rsidP="00593A7B">
            <w:pPr>
              <w:numPr>
                <w:ilvl w:val="1"/>
                <w:numId w:val="61"/>
              </w:numPr>
              <w:spacing w:before="0" w:after="0"/>
              <w:rPr>
                <w:b/>
                <w:highlight w:val="yellow"/>
              </w:rPr>
            </w:pPr>
            <w:r w:rsidRPr="0006413F">
              <w:rPr>
                <w:b/>
                <w:highlight w:val="yellow"/>
              </w:rPr>
              <w:t>Assumptions for scheduler</w:t>
            </w:r>
          </w:p>
          <w:p w14:paraId="79522463" w14:textId="77777777" w:rsidR="006E5D8F" w:rsidRPr="0006413F" w:rsidRDefault="00593A7B" w:rsidP="00593A7B">
            <w:pPr>
              <w:numPr>
                <w:ilvl w:val="2"/>
                <w:numId w:val="61"/>
              </w:numPr>
              <w:spacing w:before="0" w:after="0"/>
              <w:rPr>
                <w:b/>
                <w:highlight w:val="yellow"/>
              </w:rPr>
            </w:pPr>
            <w:r w:rsidRPr="0006413F">
              <w:rPr>
                <w:b/>
                <w:highlight w:val="yellow"/>
              </w:rPr>
              <w:t>For FR1, no restriction on the beam assumptions being used in each slot</w:t>
            </w:r>
          </w:p>
          <w:p w14:paraId="5F4AE90B" w14:textId="77777777" w:rsidR="006E5D8F" w:rsidRPr="0006413F" w:rsidRDefault="00593A7B" w:rsidP="00593A7B">
            <w:pPr>
              <w:numPr>
                <w:ilvl w:val="2"/>
                <w:numId w:val="61"/>
              </w:numPr>
              <w:spacing w:before="0" w:after="0"/>
              <w:rPr>
                <w:b/>
                <w:highlight w:val="yellow"/>
              </w:rPr>
            </w:pPr>
            <w:r w:rsidRPr="0006413F">
              <w:rPr>
                <w:b/>
                <w:highlight w:val="yellow"/>
              </w:rPr>
              <w:t xml:space="preserve">For FR2, </w:t>
            </w:r>
            <w:proofErr w:type="spellStart"/>
            <w:r w:rsidRPr="0006413F">
              <w:rPr>
                <w:b/>
                <w:highlight w:val="yellow"/>
              </w:rPr>
              <w:t>gNB</w:t>
            </w:r>
            <w:proofErr w:type="spellEnd"/>
            <w:r w:rsidRPr="0006413F">
              <w:rPr>
                <w:b/>
                <w:highlight w:val="yellow"/>
              </w:rPr>
              <w:t xml:space="preserve"> equally schedule the slots for UEs targeting to different beams. </w:t>
            </w: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lastRenderedPageBreak/>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w:t>
            </w:r>
            <w:proofErr w:type="gramStart"/>
            <w:r>
              <w:t>delay?</w:t>
            </w:r>
            <w:proofErr w:type="gramEnd"/>
            <w:r>
              <w:t xml:space="preserve">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value,  maybe </w:t>
            </w:r>
            <w:proofErr w:type="spellStart"/>
            <w:r>
              <w:t>ps</w:t>
            </w:r>
            <w:proofErr w:type="spellEnd"/>
            <w:r>
              <w:t>-Offset=2ms could be considered</w:t>
            </w:r>
          </w:p>
          <w:p w14:paraId="54F91410" w14:textId="77777777" w:rsidR="00AC19E9" w:rsidRDefault="00AC19E9" w:rsidP="00AC19E9">
            <w:pPr>
              <w:spacing w:after="0" w:line="240" w:lineRule="auto"/>
            </w:pPr>
            <w:r>
              <w:t xml:space="preserve">Also another question for the Y (in the BWP switching). As this seems to relate to scheduler decision to adapt the UE behavior, should we then Y as some form of decision </w:t>
            </w:r>
            <w:proofErr w:type="gramStart"/>
            <w:r>
              <w:t>delay, that</w:t>
            </w:r>
            <w:proofErr w:type="gramEnd"/>
            <w:r>
              <w:t xml:space="preserve">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w:t>
            </w:r>
            <w:proofErr w:type="gramStart"/>
            <w:r w:rsidR="002069E2" w:rsidRPr="008F503C">
              <w:rPr>
                <w:rFonts w:ascii="Times New Roman" w:eastAsiaTheme="minorEastAsia" w:hAnsi="Times New Roman"/>
                <w:lang w:eastAsia="zh-CN"/>
              </w:rPr>
              <w:t>the  3m</w:t>
            </w:r>
            <w:proofErr w:type="gramEnd"/>
            <w:r w:rsidR="002069E2" w:rsidRPr="008F503C">
              <w:rPr>
                <w:rFonts w:ascii="Times New Roman" w:eastAsiaTheme="minorEastAsia" w:hAnsi="Times New Roman"/>
                <w:lang w:eastAsia="zh-CN"/>
              </w:rPr>
              <w:t xml:space="preserve">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proofErr w:type="gramStart"/>
            <w:r w:rsidRPr="008F503C">
              <w:rPr>
                <w:rFonts w:ascii="Times New Roman" w:eastAsiaTheme="minorEastAsia" w:hAnsi="Times New Roman"/>
                <w:lang w:eastAsia="zh-CN"/>
              </w:rPr>
              <w:t>Mhz</w:t>
            </w:r>
            <w:proofErr w:type="spellEnd"/>
            <w:proofErr w:type="gram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BF12FE">
            <w:pPr>
              <w:spacing w:after="0" w:line="240" w:lineRule="auto"/>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79E03001" w14:textId="77777777" w:rsidR="00FC3A28" w:rsidRDefault="00FC3A28" w:rsidP="00BF12FE">
            <w:pPr>
              <w:spacing w:after="0" w:line="240" w:lineRule="auto"/>
              <w:rPr>
                <w:lang w:eastAsia="zh-CN"/>
              </w:rPr>
            </w:pPr>
            <w:r>
              <w:rPr>
                <w:lang w:eastAsia="zh-CN"/>
              </w:rPr>
              <w:t xml:space="preserve">Generally OK with the proposal. </w:t>
            </w:r>
          </w:p>
          <w:p w14:paraId="289E9897" w14:textId="77777777" w:rsidR="00FC3A28" w:rsidRDefault="00FC3A28" w:rsidP="00BF12FE">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BF12FE">
            <w:pPr>
              <w:spacing w:after="0" w:line="240" w:lineRule="auto"/>
            </w:pPr>
            <w:r w:rsidRPr="00233F90">
              <w:rPr>
                <w:b/>
              </w:rPr>
              <w:t xml:space="preserve">Max # of MIMO layer can be adapted from 4 layer to 2 </w:t>
            </w:r>
            <w:proofErr w:type="spellStart"/>
            <w:r w:rsidRPr="00233F90">
              <w:rPr>
                <w:b/>
              </w:rPr>
              <w:t>layerfor</w:t>
            </w:r>
            <w:proofErr w:type="spellEnd"/>
            <w:r w:rsidRPr="00233F90">
              <w:rPr>
                <w:b/>
              </w:rPr>
              <w:t xml:space="preserve"> FR</w:t>
            </w:r>
            <w:r w:rsidRPr="00B4533D">
              <w:rPr>
                <w:b/>
                <w:strike/>
                <w:color w:val="FF0000"/>
              </w:rPr>
              <w:t>2</w:t>
            </w:r>
            <w:r w:rsidRPr="00233F90">
              <w:rPr>
                <w:b/>
              </w:rPr>
              <w:t>1, 2 layer to 1 layer for FR2</w:t>
            </w:r>
          </w:p>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 xml:space="preserve">wo values of minimum time gap in terms of slots per SCS are specified and the UE reports one of </w:t>
      </w:r>
      <w:r>
        <w:rPr>
          <w:rFonts w:eastAsia="Times New Roman"/>
        </w:rPr>
        <w:lastRenderedPageBreak/>
        <w:t>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proofErr w:type="gramStart"/>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lastRenderedPageBreak/>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lastRenderedPageBreak/>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lastRenderedPageBreak/>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lastRenderedPageBreak/>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w:t>
      </w:r>
      <w:r>
        <w:lastRenderedPageBreak/>
        <w:t xml:space="preserve">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lastRenderedPageBreak/>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lastRenderedPageBreak/>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lastRenderedPageBreak/>
              <w:t>It</w:t>
            </w:r>
            <w:r>
              <w:rPr>
                <w:lang w:eastAsia="zh-CN"/>
              </w:rPr>
              <w:t>’</w:t>
            </w:r>
            <w:r>
              <w:rPr>
                <w:rFonts w:hint="eastAsia"/>
                <w:lang w:eastAsia="zh-CN"/>
              </w:rPr>
              <w:t xml:space="preserve">s okay to reuse FTP Model 3 for the additional traffic model. The mean inter arrival time can be 50ms and packet size can be </w:t>
            </w:r>
            <w:proofErr w:type="gramStart"/>
            <w:r>
              <w:rPr>
                <w:rFonts w:hint="eastAsia"/>
                <w:lang w:eastAsia="zh-CN"/>
              </w:rPr>
              <w:t>0.05Mbytes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‘additional</w:t>
            </w:r>
            <w:proofErr w:type="gramEnd"/>
            <w:r>
              <w:rPr>
                <w:lang w:eastAsia="zh-CN"/>
              </w:rPr>
              <w:t xml:space="preserve">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lastRenderedPageBreak/>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宋体" w:hAnsi="Times New Roman"/>
                <w:sz w:val="20"/>
                <w:szCs w:val="20"/>
              </w:rPr>
            </w:pPr>
            <w:r>
              <w:rPr>
                <w:rFonts w:ascii="Times New Roman" w:eastAsia="宋体" w:hAnsi="Times New Roman"/>
                <w:sz w:val="20"/>
                <w:szCs w:val="20"/>
              </w:rPr>
              <w:t xml:space="preserve">Reuse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settings for VoIP, e.g.,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cycle=40ms, to </w:t>
            </w:r>
            <w:proofErr w:type="spellStart"/>
            <w:r>
              <w:rPr>
                <w:rFonts w:ascii="Times New Roman" w:eastAsia="宋体" w:hAnsi="Times New Roman"/>
                <w:sz w:val="20"/>
                <w:szCs w:val="20"/>
              </w:rPr>
              <w:t>achive</w:t>
            </w:r>
            <w:proofErr w:type="spellEnd"/>
            <w:r>
              <w:rPr>
                <w:rFonts w:ascii="Times New Roman" w:eastAsia="宋体"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lastRenderedPageBreak/>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w:t>
            </w:r>
            <w:proofErr w:type="gramStart"/>
            <w:r w:rsidRPr="005C56CD">
              <w:rPr>
                <w:rFonts w:ascii="Times New Roman" w:hAnsi="Times New Roman"/>
                <w:b/>
                <w:sz w:val="20"/>
                <w:szCs w:val="20"/>
              </w:rPr>
              <w:t>17  DCI</w:t>
            </w:r>
            <w:proofErr w:type="gramEnd"/>
            <w:r w:rsidRPr="005C56CD">
              <w:rPr>
                <w:rFonts w:ascii="Times New Roman" w:hAnsi="Times New Roman"/>
                <w:b/>
                <w:sz w:val="20"/>
                <w:szCs w:val="20"/>
              </w:rPr>
              <w:t xml:space="preserve">-based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lastRenderedPageBreak/>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6478370" w14:textId="77777777" w:rsidR="005C56CD" w:rsidRPr="005C56CD" w:rsidRDefault="005C56CD" w:rsidP="002069E2">
            <w:pPr>
              <w:rPr>
                <w:b/>
                <w:u w:val="single"/>
                <w:lang w:eastAsia="zh-CN"/>
              </w:rPr>
            </w:pPr>
            <w:r w:rsidRPr="005C56CD">
              <w:rPr>
                <w:b/>
                <w:u w:val="single"/>
                <w:lang w:eastAsia="zh-CN"/>
              </w:rPr>
              <w:t>Proposal 3:</w:t>
            </w:r>
          </w:p>
          <w:p w14:paraId="26A7C39A" w14:textId="22BFA0D5"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0D07B700"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7C043C7C"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99157CF"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67E2764A"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75E0E9C5"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50751231"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w:t>
            </w:r>
            <w:proofErr w:type="gramStart"/>
            <w:r>
              <w:rPr>
                <w:rFonts w:ascii="Times New Roman" w:hAnsi="Times New Roman" w:cs="Times New Roman"/>
                <w:b/>
                <w:bCs/>
                <w:color w:val="000000"/>
                <w:sz w:val="20"/>
                <w:szCs w:val="20"/>
                <w:shd w:val="clear" w:color="auto" w:fill="FFFF00"/>
              </w:rPr>
              <w:t>  DCI</w:t>
            </w:r>
            <w:proofErr w:type="gramEnd"/>
            <w:r>
              <w:rPr>
                <w:rFonts w:ascii="Times New Roman" w:hAnsi="Times New Roman" w:cs="Times New Roman"/>
                <w:b/>
                <w:bCs/>
                <w:color w:val="000000"/>
                <w:sz w:val="20"/>
                <w:szCs w:val="20"/>
                <w:shd w:val="clear" w:color="auto" w:fill="FFFF00"/>
              </w:rPr>
              <w:t>-based power saving adaptation evaluation.</w:t>
            </w:r>
          </w:p>
          <w:p w14:paraId="3647C3BC"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 xml:space="preserve">inter-arrival time of </w:t>
            </w:r>
            <w:proofErr w:type="gramStart"/>
            <w:r>
              <w:t>50ms  is</w:t>
            </w:r>
            <w:proofErr w:type="gramEnd"/>
            <w:r>
              <w:t xml:space="preserve">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lastRenderedPageBreak/>
              <w:t xml:space="preserve">The last bullet </w:t>
            </w:r>
            <w:proofErr w:type="gramStart"/>
            <w:r>
              <w:rPr>
                <w:lang w:eastAsia="zh-CN"/>
              </w:rPr>
              <w:t>“</w:t>
            </w:r>
            <w:r w:rsidRPr="00CC211F">
              <w:rPr>
                <w:lang w:eastAsia="zh-CN"/>
              </w:rPr>
              <w:t xml:space="preserve">  For</w:t>
            </w:r>
            <w:proofErr w:type="gramEnd"/>
            <w:r w:rsidRPr="00CC211F">
              <w:rPr>
                <w:lang w:eastAsia="zh-CN"/>
              </w:rPr>
              <w:t xml:space="preserve">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BF12FE">
            <w:pPr>
              <w:spacing w:after="0"/>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8628" w:type="dxa"/>
          </w:tcPr>
          <w:p w14:paraId="1456B36C" w14:textId="77777777" w:rsidR="00FC3A28" w:rsidRPr="00EA288B" w:rsidRDefault="00FC3A28" w:rsidP="00BF12FE">
            <w:r>
              <w:rPr>
                <w:lang w:eastAsia="zh-CN"/>
              </w:rPr>
              <w:t xml:space="preserve">We support the proposal. </w:t>
            </w:r>
            <w:proofErr w:type="spellStart"/>
            <w:r>
              <w:rPr>
                <w:lang w:eastAsia="zh-CN"/>
              </w:rPr>
              <w:t>Regardgin</w:t>
            </w:r>
            <w:proofErr w:type="spellEnd"/>
            <w:r>
              <w:rPr>
                <w:lang w:eastAsia="zh-CN"/>
              </w:rPr>
              <w:t xml:space="preserve"> the values in the brackets, can we leave also the combination of {0.05M, 15ms} as another option, or only {0.1M, 30ms} as a compromise.</w:t>
            </w:r>
          </w:p>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gramStart"/>
      <w:r>
        <w:t>)</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lastRenderedPageBreak/>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lastRenderedPageBreak/>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lastRenderedPageBreak/>
              <w:t xml:space="preserve"> [E///][Nokia][Sony] proposes to also include short DRX, while [MTK</w:t>
            </w:r>
            <w:proofErr w:type="gramStart"/>
            <w:r>
              <w:rPr>
                <w:lang w:eastAsia="zh-CN"/>
              </w:rPr>
              <w:t>][</w:t>
            </w:r>
            <w:proofErr w:type="gramEnd"/>
            <w:r>
              <w:rPr>
                <w:lang w:eastAsia="zh-CN"/>
              </w:rPr>
              <w:t>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lastRenderedPageBreak/>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 xml:space="preserve">Also, if new </w:t>
            </w:r>
            <w:proofErr w:type="spellStart"/>
            <w:r>
              <w:rPr>
                <w:rFonts w:ascii="Times New Roman" w:eastAsia="宋体" w:hAnsi="Times New Roman"/>
                <w:sz w:val="20"/>
                <w:szCs w:val="20"/>
                <w:lang w:eastAsia="zh-CN"/>
              </w:rPr>
              <w:t>bursty</w:t>
            </w:r>
            <w:proofErr w:type="spellEnd"/>
            <w:r>
              <w:rPr>
                <w:rFonts w:ascii="Times New Roman" w:eastAsia="宋体" w:hAnsi="Times New Roman"/>
                <w:sz w:val="20"/>
                <w:szCs w:val="20"/>
                <w:lang w:eastAsia="zh-CN"/>
              </w:rPr>
              <w:t xml:space="preserve"> traffic model is considered, then </w:t>
            </w:r>
            <w:r>
              <w:rPr>
                <w:rFonts w:ascii="Times New Roman" w:eastAsia="宋体" w:hAnsi="Times New Roman"/>
                <w:sz w:val="20"/>
                <w:szCs w:val="20"/>
                <w:lang w:eastAsia="zh-CN"/>
              </w:rPr>
              <w:lastRenderedPageBreak/>
              <w:t>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lastRenderedPageBreak/>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lastRenderedPageBreak/>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lastRenderedPageBreak/>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 xml:space="preserve">OK, but as optionally </w:t>
            </w:r>
            <w:r>
              <w:lastRenderedPageBreak/>
              <w:t>modeled in evaluation.</w:t>
            </w:r>
          </w:p>
        </w:tc>
        <w:tc>
          <w:tcPr>
            <w:tcW w:w="7151" w:type="dxa"/>
          </w:tcPr>
          <w:p w14:paraId="6DE64BCB" w14:textId="77777777" w:rsidR="00D530E0" w:rsidRDefault="00063156">
            <w:pPr>
              <w:spacing w:after="0"/>
            </w:pPr>
            <w:r>
              <w:lastRenderedPageBreak/>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 xml:space="preserve">We are OK with considering the power consumption associated with RLM/BFD, but think that the model proposed need clarifying / updating. E.g. does the UE perform </w:t>
            </w:r>
            <w:r>
              <w:lastRenderedPageBreak/>
              <w:t>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lastRenderedPageBreak/>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lastRenderedPageBreak/>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 xml:space="preserve">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w:t>
            </w:r>
            <w:proofErr w:type="gramStart"/>
            <w:r>
              <w:t>company[</w:t>
            </w:r>
            <w:proofErr w:type="gramEnd"/>
            <w:r>
              <w:t xml:space="preserve">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proofErr w:type="gramStart"/>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w:t>
            </w:r>
            <w:proofErr w:type="gramStart"/>
            <w:r>
              <w:rPr>
                <w:lang w:eastAsia="zh-CN"/>
              </w:rPr>
              <w:t xml:space="preserve">, </w:t>
            </w:r>
            <w:r>
              <w:rPr>
                <w:rFonts w:hint="eastAsia"/>
                <w:lang w:eastAsia="zh-CN"/>
              </w:rPr>
              <w:t xml:space="preserve"> </w:t>
            </w:r>
            <w:r>
              <w:rPr>
                <w:lang w:eastAsia="zh-CN"/>
              </w:rPr>
              <w:t>and</w:t>
            </w:r>
            <w:proofErr w:type="gramEnd"/>
            <w:r>
              <w:rPr>
                <w:lang w:eastAsia="zh-CN"/>
              </w:rPr>
              <w:t xml:space="preserve">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ListParagraph"/>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2069E2">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 xml:space="preserve">We do not have power consumption model for the </w:t>
            </w:r>
            <w:proofErr w:type="gramStart"/>
            <w:r>
              <w:t>PDSCH  processing</w:t>
            </w:r>
            <w:proofErr w:type="gramEnd"/>
            <w:r>
              <w:t xml:space="preserve">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r>
              <w:rPr>
                <w:rFonts w:eastAsiaTheme="minorEastAsia" w:hint="eastAsia"/>
                <w:lang w:eastAsia="zh-CN"/>
              </w:rPr>
              <w:t>i.e</w:t>
            </w:r>
            <w:proofErr w:type="gramStart"/>
            <w:r>
              <w:rPr>
                <w:rFonts w:eastAsiaTheme="minorEastAsia" w:hint="eastAsia"/>
                <w:lang w:eastAsia="zh-CN"/>
              </w:rPr>
              <w:t>.</w:t>
            </w:r>
            <w:r>
              <w:t>“</w:t>
            </w:r>
            <w:proofErr w:type="gramEnd"/>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BF12F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87821FD" w14:textId="77777777" w:rsidR="00FC3A28" w:rsidRDefault="00FC3A28" w:rsidP="00BF12FE">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w:t>
            </w:r>
            <w:proofErr w:type="spellStart"/>
            <w:r>
              <w:rPr>
                <w:lang w:eastAsia="zh-CN"/>
              </w:rPr>
              <w:t>extention</w:t>
            </w:r>
            <w:proofErr w:type="spellEnd"/>
            <w:r>
              <w:rPr>
                <w:lang w:eastAsia="zh-CN"/>
              </w:rPr>
              <w:t xml:space="preserve"> of DCI based power saving adaptation. We also propose to remove the solutions which have not been evaluated in Rel-16 power saving study, which may even do not have the power model for </w:t>
            </w:r>
            <w:proofErr w:type="spellStart"/>
            <w:r>
              <w:rPr>
                <w:lang w:eastAsia="zh-CN"/>
              </w:rPr>
              <w:t>evalution</w:t>
            </w:r>
            <w:proofErr w:type="spellEnd"/>
            <w:r>
              <w:rPr>
                <w:lang w:eastAsia="zh-CN"/>
              </w:rPr>
              <w:t>. Furthermore, we also suggest the group to consider deprioritize the single company proposal for the sake of progress.</w:t>
            </w:r>
          </w:p>
          <w:p w14:paraId="33BCDA13" w14:textId="77777777" w:rsidR="00FC3A28" w:rsidRDefault="00FC3A28" w:rsidP="00BF12FE">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BF12FE">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BF12FE">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BF12FE">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BF12FE">
            <w:pPr>
              <w:pStyle w:val="ListParagraph"/>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BF12FE">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BF12FE">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BF12FE">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BF12FE">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BF12FE">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BF12FE">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BF12FE">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w:t>
            </w:r>
            <w:proofErr w:type="spellStart"/>
            <w:r w:rsidRPr="00B4533D">
              <w:rPr>
                <w:rFonts w:ascii="Times New Roman" w:hAnsi="Times New Roman"/>
                <w:strike/>
                <w:color w:val="7030A0"/>
                <w:sz w:val="20"/>
                <w:szCs w:val="20"/>
                <w:highlight w:val="yellow"/>
                <w:lang w:val="en-GB" w:eastAsia="zh-CN"/>
              </w:rPr>
              <w:t>fallback</w:t>
            </w:r>
            <w:proofErr w:type="spellEnd"/>
            <w:r w:rsidRPr="00B4533D">
              <w:rPr>
                <w:rFonts w:ascii="Times New Roman" w:hAnsi="Times New Roman"/>
                <w:strike/>
                <w:color w:val="7030A0"/>
                <w:sz w:val="20"/>
                <w:szCs w:val="20"/>
                <w:highlight w:val="yellow"/>
                <w:lang w:val="en-GB" w:eastAsia="zh-CN"/>
              </w:rPr>
              <w:t xml:space="preserve"> DCI for DL and UL scheduling, i.e., configure different SS for each, adaptively monitoring non-</w:t>
            </w:r>
            <w:proofErr w:type="spellStart"/>
            <w:r w:rsidRPr="00B4533D">
              <w:rPr>
                <w:rFonts w:ascii="Times New Roman" w:hAnsi="Times New Roman"/>
                <w:strike/>
                <w:color w:val="7030A0"/>
                <w:sz w:val="20"/>
                <w:szCs w:val="20"/>
                <w:highlight w:val="yellow"/>
                <w:lang w:val="en-GB" w:eastAsia="zh-CN"/>
              </w:rPr>
              <w:t>fallback</w:t>
            </w:r>
            <w:proofErr w:type="spellEnd"/>
            <w:r w:rsidRPr="00B4533D">
              <w:rPr>
                <w:rFonts w:ascii="Times New Roman" w:hAnsi="Times New Roman"/>
                <w:strike/>
                <w:color w:val="7030A0"/>
                <w:sz w:val="20"/>
                <w:szCs w:val="20"/>
                <w:highlight w:val="yellow"/>
                <w:lang w:val="en-GB" w:eastAsia="zh-CN"/>
              </w:rPr>
              <w:t xml:space="preserve"> UL DCI by SR</w:t>
            </w:r>
          </w:p>
          <w:p w14:paraId="553F9CD1" w14:textId="77777777" w:rsidR="00FC3A28" w:rsidRPr="00B4533D" w:rsidRDefault="00FC3A28" w:rsidP="00BF12FE">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Extend RB sets </w:t>
            </w:r>
            <w:proofErr w:type="spellStart"/>
            <w:r w:rsidRPr="00B4533D">
              <w:rPr>
                <w:rFonts w:ascii="Times New Roman" w:hAnsi="Times New Roman"/>
                <w:strike/>
                <w:color w:val="7030A0"/>
                <w:sz w:val="20"/>
                <w:szCs w:val="20"/>
                <w:highlight w:val="yellow"/>
                <w:lang w:val="en-GB" w:eastAsia="zh-CN"/>
              </w:rPr>
              <w:t>adapatation</w:t>
            </w:r>
            <w:proofErr w:type="spellEnd"/>
            <w:r w:rsidRPr="00B4533D">
              <w:rPr>
                <w:rFonts w:ascii="Times New Roman" w:hAnsi="Times New Roman"/>
                <w:strike/>
                <w:color w:val="7030A0"/>
                <w:sz w:val="20"/>
                <w:szCs w:val="20"/>
                <w:highlight w:val="yellow"/>
                <w:lang w:val="en-GB" w:eastAsia="zh-CN"/>
              </w:rPr>
              <w:t xml:space="preserve"> for PDCCH monitoring in frequency domain to licensed band</w:t>
            </w:r>
          </w:p>
          <w:p w14:paraId="046FE960" w14:textId="77777777" w:rsidR="00FC3A28" w:rsidRPr="00B4533D" w:rsidRDefault="00FC3A28" w:rsidP="00BF12FE">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BF12FE">
            <w:pPr>
              <w:pStyle w:val="ListParagraph"/>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w:t>
            </w:r>
            <w:proofErr w:type="spellStart"/>
            <w:r w:rsidRPr="00B4533D">
              <w:rPr>
                <w:rFonts w:ascii="Times New Roman" w:hAnsi="Times New Roman"/>
                <w:strike/>
                <w:color w:val="7030A0"/>
                <w:sz w:val="20"/>
                <w:szCs w:val="20"/>
                <w:highlight w:val="yellow"/>
                <w:lang w:val="en-GB" w:eastAsia="zh-CN"/>
              </w:rPr>
              <w:t>PUSCHscheduling</w:t>
            </w:r>
            <w:proofErr w:type="spellEnd"/>
          </w:p>
          <w:p w14:paraId="6DCFDE11" w14:textId="77777777" w:rsidR="00FC3A28" w:rsidRPr="002B68E7" w:rsidRDefault="00FC3A28" w:rsidP="00BF12FE">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BF12FE">
            <w:pPr>
              <w:spacing w:after="0"/>
              <w:rPr>
                <w:lang w:eastAsia="zh-CN"/>
              </w:rPr>
            </w:pP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w:t>
      </w:r>
      <w:proofErr w:type="gramStart"/>
      <w:r>
        <w:rPr>
          <w:lang w:val="en-GB"/>
        </w:rPr>
        <w:t>,CATT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proofErr w:type="gramStart"/>
      <w:r>
        <w:t>]</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t>Comments:</w:t>
            </w:r>
          </w:p>
          <w:p w14:paraId="5C106785" w14:textId="77777777" w:rsidR="006A787C" w:rsidRDefault="006A787C" w:rsidP="007E5A71">
            <w:r>
              <w:t>(</w:t>
            </w:r>
            <w:r w:rsidRPr="00AD7ACE">
              <w:t xml:space="preserve">1) </w:t>
            </w:r>
            <w:proofErr w:type="gramStart"/>
            <w:r w:rsidRPr="00AD7ACE">
              <w:t xml:space="preserve">For </w:t>
            </w:r>
            <w:r>
              <w:t xml:space="preserve"> </w:t>
            </w:r>
            <w:r w:rsidRPr="009B442E">
              <w:t>[</w:t>
            </w:r>
            <w:proofErr w:type="gramEnd"/>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absolutely necessary.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w:t>
            </w:r>
            <w:proofErr w:type="gramStart"/>
            <w:r>
              <w:rPr>
                <w:rFonts w:hint="eastAsia"/>
                <w:sz w:val="21"/>
                <w:szCs w:val="22"/>
                <w:lang w:eastAsia="zh-CN"/>
              </w:rPr>
              <w:t>is  generally</w:t>
            </w:r>
            <w:proofErr w:type="gramEnd"/>
            <w:r>
              <w:rPr>
                <w:rFonts w:hint="eastAsia"/>
                <w:sz w:val="21"/>
                <w:szCs w:val="22"/>
                <w:lang w:eastAsia="zh-CN"/>
              </w:rPr>
              <w:t xml:space="preserve">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BF12FE">
        <w:trPr>
          <w:trHeight w:val="300"/>
        </w:trPr>
        <w:tc>
          <w:tcPr>
            <w:tcW w:w="1290" w:type="dxa"/>
          </w:tcPr>
          <w:p w14:paraId="7332D049" w14:textId="77777777" w:rsidR="00FC3A28" w:rsidRDefault="00FC3A28" w:rsidP="00BF12FE">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F6D87D6" w14:textId="77777777" w:rsidR="00FC3A28" w:rsidRDefault="00FC3A28" w:rsidP="00BF12FE">
            <w:pPr>
              <w:spacing w:after="0"/>
            </w:pPr>
            <w:r>
              <w:rPr>
                <w:lang w:eastAsia="zh-CN"/>
              </w:rPr>
              <w:t xml:space="preserve">In our understanding, this proposal is to collect the input, which is fine for us. However, proposal 7 and Question 9 should be prioritized to be discussed together. </w:t>
            </w:r>
          </w:p>
        </w:tc>
      </w:tr>
    </w:tbl>
    <w:p w14:paraId="5F75DE19" w14:textId="77777777" w:rsidR="006A787C" w:rsidRPr="00FC3A28" w:rsidRDefault="006A787C">
      <w:pPr>
        <w:pStyle w:val="BodyText"/>
        <w:spacing w:after="0"/>
        <w:rPr>
          <w:rFonts w:ascii="Times New Roman" w:hAnsi="Times New Roman"/>
          <w:szCs w:val="20"/>
          <w:lang w:eastAsia="zh-CN"/>
        </w:rPr>
      </w:pPr>
      <w:bookmarkStart w:id="11" w:name="_GoBack"/>
      <w:bookmarkEnd w:id="11"/>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w:t>
            </w:r>
            <w:proofErr w:type="gramStart"/>
            <w:r>
              <w:rPr>
                <w:rFonts w:eastAsiaTheme="minorEastAsia"/>
                <w:lang w:eastAsia="zh-CN"/>
              </w:rPr>
              <w:t>,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Company to report other assumptions, e.g., short DRX cycle, </w:t>
      </w:r>
      <w:proofErr w:type="spellStart"/>
      <w:r>
        <w:rPr>
          <w:rFonts w:ascii="Times New Roman" w:hAnsi="Times New Roman" w:cs="Times New Roman"/>
          <w:b/>
          <w:bCs/>
          <w:color w:val="000000"/>
          <w:sz w:val="20"/>
          <w:szCs w:val="20"/>
          <w:shd w:val="clear" w:color="auto" w:fill="FFFF00"/>
        </w:rPr>
        <w:t>SCell</w:t>
      </w:r>
      <w:proofErr w:type="spellEnd"/>
      <w:r>
        <w:rPr>
          <w:rFonts w:ascii="Times New Roman" w:hAnsi="Times New Roman" w:cs="Times New Roman"/>
          <w:b/>
          <w:bCs/>
          <w:color w:val="000000"/>
          <w:sz w:val="20"/>
          <w:szCs w:val="20"/>
          <w:shd w:val="clear" w:color="auto" w:fill="FFFF00"/>
        </w:rPr>
        <w:t xml:space="preserve">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proofErr w:type="gramStart"/>
      <w:r>
        <w:rPr>
          <w:rFonts w:ascii="Courier New" w:hAnsi="Courier New" w:cs="Courier New"/>
          <w:color w:val="000000"/>
          <w:sz w:val="20"/>
          <w:szCs w:val="20"/>
          <w:shd w:val="clear" w:color="auto" w:fill="FFFF00"/>
        </w:rPr>
        <w:t>o</w:t>
      </w:r>
      <w:proofErr w:type="gramEnd"/>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
        <w:spacing w:beforeAutospacing="0" w:after="0" w:afterAutospacing="0"/>
        <w:ind w:left="840" w:hanging="420"/>
      </w:pPr>
      <w:proofErr w:type="gramStart"/>
      <w:r>
        <w:rPr>
          <w:rFonts w:ascii="Courier New" w:hAnsi="Courier New" w:cs="Courier New"/>
          <w:color w:val="000000"/>
          <w:sz w:val="20"/>
          <w:szCs w:val="20"/>
          <w:shd w:val="clear" w:color="auto" w:fill="FFFF00"/>
        </w:rPr>
        <w:t>o</w:t>
      </w:r>
      <w:proofErr w:type="gramEnd"/>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w:t>
      </w:r>
      <w:proofErr w:type="gramStart"/>
      <w:r>
        <w:rPr>
          <w:rFonts w:ascii="Times New Roman" w:hAnsi="Times New Roman" w:cs="Times New Roman"/>
          <w:b/>
          <w:bCs/>
          <w:color w:val="000000"/>
          <w:sz w:val="20"/>
          <w:szCs w:val="20"/>
          <w:shd w:val="clear" w:color="auto" w:fill="FFFF00"/>
        </w:rPr>
        <w:t>  DCI</w:t>
      </w:r>
      <w:proofErr w:type="gramEnd"/>
      <w:r>
        <w:rPr>
          <w:rFonts w:ascii="Times New Roman" w:hAnsi="Times New Roman" w:cs="Times New Roman"/>
          <w:b/>
          <w:bCs/>
          <w:color w:val="000000"/>
          <w:sz w:val="20"/>
          <w:szCs w:val="20"/>
          <w:shd w:val="clear" w:color="auto" w:fill="FFFF00"/>
        </w:rPr>
        <w:t>-based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FC3A28">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FC3A28">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FC3A28">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FC3A28">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FC3A28">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FC3A28">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FC3A28">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FC3A28">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w:t>
            </w:r>
            <w:proofErr w:type="gramStart"/>
            <w:r>
              <w:rPr>
                <w:b/>
                <w:i/>
                <w:lang w:eastAsia="zh-CN"/>
              </w:rPr>
              <w:t>min(</w:t>
            </w:r>
            <w:proofErr w:type="gramEnd"/>
            <w:r>
              <w:rPr>
                <w:b/>
                <w:i/>
                <w:lang w:eastAsia="zh-CN"/>
              </w:rPr>
              <w:t>K0)+1) as the monitoring periodicity.</w:t>
            </w:r>
          </w:p>
        </w:tc>
      </w:tr>
      <w:tr w:rsidR="00D530E0" w14:paraId="5FB544D7" w14:textId="77777777">
        <w:tc>
          <w:tcPr>
            <w:tcW w:w="9962" w:type="dxa"/>
            <w:shd w:val="clear" w:color="auto" w:fill="BFBFBF"/>
          </w:tcPr>
          <w:p w14:paraId="3232BE24" w14:textId="77777777" w:rsidR="00D530E0" w:rsidRDefault="00FC3A28">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FC3A28">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FC3A28">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FC3A28">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FC3A28">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FC3A28">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FC3A28">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FC3A28">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FC3A28">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FC3A28">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FC3A28">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FC3A28">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FC3A28">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FC3A28">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FC3A28">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FC3A28">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FC3A28">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FC3A28">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Heading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6" w:name="_Toc529948048"/>
      <w:r>
        <w:rPr>
          <w:sz w:val="44"/>
        </w:rPr>
        <w:t>Reference</w:t>
      </w:r>
      <w:bookmarkEnd w:id="16"/>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FC3A28">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FC3A28">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FC3A28">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FC3A28">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FC3A28">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FC3A28">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FC3A28">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FC3A28">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FC3A28">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FC3A28">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FC3A28">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FC3A28">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FC3A28">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FC3A28">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FC3A28">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FC3A28">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FC3A28">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FC3A28">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FC3A28">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FC3A28">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FC3A28">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FC3A28">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445E" w14:textId="77777777" w:rsidR="007E58CD" w:rsidRDefault="007E58CD">
      <w:pPr>
        <w:spacing w:after="0"/>
      </w:pPr>
      <w:r>
        <w:separator/>
      </w:r>
    </w:p>
  </w:endnote>
  <w:endnote w:type="continuationSeparator" w:id="0">
    <w:p w14:paraId="4CB24AB1" w14:textId="77777777" w:rsidR="007E58CD" w:rsidRDefault="007E5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2069E2" w:rsidRDefault="00206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2069E2" w:rsidRDefault="00206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2069E2" w:rsidRDefault="002069E2">
    <w:pPr>
      <w:pStyle w:val="Footer"/>
      <w:ind w:right="360"/>
    </w:pPr>
    <w:r>
      <w:rPr>
        <w:rStyle w:val="PageNumber"/>
      </w:rPr>
      <w:fldChar w:fldCharType="begin"/>
    </w:r>
    <w:r>
      <w:rPr>
        <w:rStyle w:val="PageNumber"/>
      </w:rPr>
      <w:instrText xml:space="preserve"> PAGE </w:instrText>
    </w:r>
    <w:r>
      <w:rPr>
        <w:rStyle w:val="PageNumber"/>
      </w:rPr>
      <w:fldChar w:fldCharType="separate"/>
    </w:r>
    <w:r w:rsidR="00FC3A28">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3A28">
      <w:rPr>
        <w:rStyle w:val="PageNumber"/>
        <w:noProof/>
      </w:rPr>
      <w:t>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1975" w14:textId="77777777" w:rsidR="007E58CD" w:rsidRDefault="007E58CD">
      <w:pPr>
        <w:spacing w:after="0"/>
      </w:pPr>
      <w:r>
        <w:separator/>
      </w:r>
    </w:p>
  </w:footnote>
  <w:footnote w:type="continuationSeparator" w:id="0">
    <w:p w14:paraId="76574D61" w14:textId="77777777" w:rsidR="007E58CD" w:rsidRDefault="007E58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2069E2" w:rsidRDefault="002069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0"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51DC879"/>
    <w:multiLevelType w:val="singleLevel"/>
    <w:tmpl w:val="551DC879"/>
    <w:lvl w:ilvl="0">
      <w:start w:val="1"/>
      <w:numFmt w:val="decimal"/>
      <w:suff w:val="space"/>
      <w:lvlText w:val="(%1)"/>
      <w:lvlJc w:val="left"/>
    </w:lvl>
  </w:abstractNum>
  <w:abstractNum w:abstractNumId="43"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2"/>
  </w:num>
  <w:num w:numId="4">
    <w:abstractNumId w:val="47"/>
  </w:num>
  <w:num w:numId="5">
    <w:abstractNumId w:val="58"/>
  </w:num>
  <w:num w:numId="6">
    <w:abstractNumId w:val="36"/>
  </w:num>
  <w:num w:numId="7">
    <w:abstractNumId w:val="57"/>
  </w:num>
  <w:num w:numId="8">
    <w:abstractNumId w:val="31"/>
  </w:num>
  <w:num w:numId="9">
    <w:abstractNumId w:val="9"/>
  </w:num>
  <w:num w:numId="10">
    <w:abstractNumId w:val="24"/>
  </w:num>
  <w:num w:numId="11">
    <w:abstractNumId w:val="37"/>
  </w:num>
  <w:num w:numId="12">
    <w:abstractNumId w:val="48"/>
  </w:num>
  <w:num w:numId="13">
    <w:abstractNumId w:val="60"/>
  </w:num>
  <w:num w:numId="14">
    <w:abstractNumId w:val="62"/>
  </w:num>
  <w:num w:numId="15">
    <w:abstractNumId w:val="27"/>
  </w:num>
  <w:num w:numId="16">
    <w:abstractNumId w:val="44"/>
  </w:num>
  <w:num w:numId="17">
    <w:abstractNumId w:val="35"/>
  </w:num>
  <w:num w:numId="18">
    <w:abstractNumId w:val="41"/>
  </w:num>
  <w:num w:numId="19">
    <w:abstractNumId w:val="14"/>
  </w:num>
  <w:num w:numId="20">
    <w:abstractNumId w:val="4"/>
  </w:num>
  <w:num w:numId="21">
    <w:abstractNumId w:val="23"/>
  </w:num>
  <w:num w:numId="22">
    <w:abstractNumId w:val="29"/>
  </w:num>
  <w:num w:numId="23">
    <w:abstractNumId w:val="6"/>
  </w:num>
  <w:num w:numId="24">
    <w:abstractNumId w:val="5"/>
  </w:num>
  <w:num w:numId="25">
    <w:abstractNumId w:val="52"/>
  </w:num>
  <w:num w:numId="26">
    <w:abstractNumId w:val="59"/>
  </w:num>
  <w:num w:numId="27">
    <w:abstractNumId w:val="2"/>
  </w:num>
  <w:num w:numId="28">
    <w:abstractNumId w:val="18"/>
  </w:num>
  <w:num w:numId="29">
    <w:abstractNumId w:val="0"/>
  </w:num>
  <w:num w:numId="30">
    <w:abstractNumId w:val="30"/>
  </w:num>
  <w:num w:numId="31">
    <w:abstractNumId w:val="45"/>
  </w:num>
  <w:num w:numId="32">
    <w:abstractNumId w:val="10"/>
  </w:num>
  <w:num w:numId="33">
    <w:abstractNumId w:val="25"/>
  </w:num>
  <w:num w:numId="34">
    <w:abstractNumId w:val="34"/>
  </w:num>
  <w:num w:numId="35">
    <w:abstractNumId w:val="43"/>
  </w:num>
  <w:num w:numId="36">
    <w:abstractNumId w:val="49"/>
  </w:num>
  <w:num w:numId="37">
    <w:abstractNumId w:val="17"/>
  </w:num>
  <w:num w:numId="38">
    <w:abstractNumId w:val="39"/>
  </w:num>
  <w:num w:numId="39">
    <w:abstractNumId w:val="40"/>
  </w:num>
  <w:num w:numId="40">
    <w:abstractNumId w:val="8"/>
  </w:num>
  <w:num w:numId="41">
    <w:abstractNumId w:val="50"/>
  </w:num>
  <w:num w:numId="42">
    <w:abstractNumId w:val="33"/>
  </w:num>
  <w:num w:numId="43">
    <w:abstractNumId w:val="51"/>
  </w:num>
  <w:num w:numId="44">
    <w:abstractNumId w:val="26"/>
  </w:num>
  <w:num w:numId="45">
    <w:abstractNumId w:val="61"/>
  </w:num>
  <w:num w:numId="46">
    <w:abstractNumId w:val="19"/>
  </w:num>
  <w:num w:numId="47">
    <w:abstractNumId w:val="32"/>
  </w:num>
  <w:num w:numId="48">
    <w:abstractNumId w:val="46"/>
  </w:num>
  <w:num w:numId="49">
    <w:abstractNumId w:val="38"/>
  </w:num>
  <w:num w:numId="50">
    <w:abstractNumId w:val="56"/>
  </w:num>
  <w:num w:numId="51">
    <w:abstractNumId w:val="55"/>
  </w:num>
  <w:num w:numId="52">
    <w:abstractNumId w:val="3"/>
  </w:num>
  <w:num w:numId="53">
    <w:abstractNumId w:val="54"/>
  </w:num>
  <w:num w:numId="54">
    <w:abstractNumId w:val="21"/>
  </w:num>
  <w:num w:numId="55">
    <w:abstractNumId w:val="12"/>
  </w:num>
  <w:num w:numId="56">
    <w:abstractNumId w:val="60"/>
  </w:num>
  <w:num w:numId="57">
    <w:abstractNumId w:val="27"/>
  </w:num>
  <w:num w:numId="58">
    <w:abstractNumId w:val="54"/>
  </w:num>
  <w:num w:numId="59">
    <w:abstractNumId w:val="13"/>
  </w:num>
  <w:num w:numId="60">
    <w:abstractNumId w:val="20"/>
  </w:num>
  <w:num w:numId="61">
    <w:abstractNumId w:val="28"/>
  </w:num>
  <w:num w:numId="62">
    <w:abstractNumId w:val="53"/>
  </w:num>
  <w:num w:numId="63">
    <w:abstractNumId w:val="11"/>
  </w:num>
  <w:num w:numId="64">
    <w:abstractNumId w:val="16"/>
  </w:num>
  <w:num w:numId="65">
    <w:abstractNumId w:val="7"/>
  </w:num>
  <w:num w:numId="66">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5495E8D-0C23-4EEF-82FD-1C51836F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23960</Words>
  <Characters>134817</Characters>
  <Application>Microsoft Office Word</Application>
  <DocSecurity>4</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cp:lastModifiedBy>
  <cp:revision>2</cp:revision>
  <cp:lastPrinted>2020-08-13T14:41:00Z</cp:lastPrinted>
  <dcterms:created xsi:type="dcterms:W3CDTF">2020-08-26T14:14:00Z</dcterms:created>
  <dcterms:modified xsi:type="dcterms:W3CDTF">2020-08-26T14:14:00Z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