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194C8326"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Pr>
          <w:rFonts w:cs="Arial"/>
          <w:bCs/>
          <w:sz w:val="22"/>
        </w:rPr>
        <w:t>R1-200XXXX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1"/>
        <w:rPr>
          <w:sz w:val="44"/>
        </w:rPr>
      </w:pPr>
      <w:r>
        <w:rPr>
          <w:sz w:val="44"/>
        </w:rPr>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77777777" w:rsidR="00D530E0" w:rsidRDefault="00063156">
      <w:pPr>
        <w:pStyle w:val="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lastRenderedPageBreak/>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w:t>
            </w:r>
            <w:r>
              <w:lastRenderedPageBreak/>
              <w:t>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lastRenderedPageBreak/>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the common baseline for comparison before the next meeting. </w:t>
            </w:r>
          </w:p>
        </w:tc>
      </w:tr>
    </w:tbl>
    <w:p w14:paraId="4ED9DE09" w14:textId="77777777" w:rsidR="00D530E0" w:rsidRDefault="00D530E0">
      <w:pPr>
        <w:rPr>
          <w:lang w:val="en-GB"/>
        </w:rPr>
      </w:pPr>
    </w:p>
    <w:p w14:paraId="2EF96170" w14:textId="25689A4E" w:rsidR="00D247B5" w:rsidRPr="00AE0735" w:rsidRDefault="00D247B5" w:rsidP="00615FBA">
      <w:pPr>
        <w:pStyle w:val="4"/>
        <w:rPr>
          <w:highlight w:val="yellow"/>
          <w:lang w:eastAsia="zh-CN"/>
        </w:rPr>
      </w:pPr>
      <w:r w:rsidRPr="00AE0735">
        <w:rPr>
          <w:highlight w:val="yellow"/>
          <w:lang w:eastAsia="zh-CN"/>
        </w:rPr>
        <w:t>3</w:t>
      </w:r>
      <w:r w:rsidRPr="00AE0735">
        <w:rPr>
          <w:highlight w:val="yellow"/>
          <w:vertAlign w:val="superscript"/>
          <w:lang w:eastAsia="zh-CN"/>
        </w:rPr>
        <w:t>rd</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AE0735" w:rsidRDefault="00D247B5" w:rsidP="00D247B5">
            <w:pPr>
              <w:rPr>
                <w:b/>
                <w:highlight w:val="yellow"/>
                <w:u w:val="single"/>
                <w:lang w:eastAsia="zh-CN"/>
              </w:rPr>
            </w:pPr>
            <w:r w:rsidRPr="00AE0735">
              <w:rPr>
                <w:b/>
                <w:highlight w:val="yellow"/>
                <w:u w:val="single"/>
                <w:lang w:eastAsia="zh-CN"/>
              </w:rPr>
              <w:t>Proposal 1:</w:t>
            </w:r>
          </w:p>
          <w:p w14:paraId="4990A951" w14:textId="77777777" w:rsidR="00D247B5" w:rsidRPr="00AE0735" w:rsidRDefault="00D247B5" w:rsidP="00D247B5">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The performance metrics decribed in TR38.840 section 8.2 is reused</w:t>
            </w:r>
            <w:r w:rsidRPr="00AE0735">
              <w:rPr>
                <w:highlight w:val="yellow"/>
              </w:rPr>
              <w:t xml:space="preserve"> </w:t>
            </w:r>
            <w:r w:rsidRPr="00AE0735">
              <w:rPr>
                <w:rFonts w:ascii="Times New Roman" w:hAnsi="Times New Roman"/>
                <w:b/>
                <w:sz w:val="20"/>
                <w:szCs w:val="20"/>
                <w:highlight w:val="yellow"/>
              </w:rPr>
              <w:t>for power saving evaluation of Rel-17 DCI-based power saving adaptation during ActiveTime.</w:t>
            </w:r>
          </w:p>
          <w:p w14:paraId="48D79CA9" w14:textId="35928A1C" w:rsidR="00BF602F" w:rsidRPr="00AE0735" w:rsidRDefault="00BF602F" w:rsidP="00BF602F">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00536AFF">
              <w:rPr>
                <w:rFonts w:ascii="Times New Roman" w:hAnsi="Times New Roman"/>
                <w:b/>
                <w:sz w:val="20"/>
                <w:szCs w:val="20"/>
                <w:highlight w:val="yellow"/>
              </w:rPr>
              <w:t>is recommended</w:t>
            </w:r>
            <w:r w:rsidRPr="00AE0735">
              <w:rPr>
                <w:rFonts w:ascii="Times New Roman" w:hAnsi="Times New Roman"/>
                <w:b/>
                <w:sz w:val="20"/>
                <w:szCs w:val="20"/>
                <w:highlight w:val="yellow"/>
              </w:rPr>
              <w:t xml:space="preserve"> for evaluating the gain of potential Rel-17 enhancements for power savings during active time</w:t>
            </w:r>
          </w:p>
          <w:p w14:paraId="19A9BD44" w14:textId="3AC39ADC" w:rsidR="00710DF2" w:rsidRPr="00AE0735" w:rsidRDefault="00710DF2" w:rsidP="00710DF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 cycle</w:t>
            </w:r>
            <w:r w:rsidR="00536AFF">
              <w:rPr>
                <w:rFonts w:ascii="Times New Roman" w:hAnsi="Times New Roman"/>
                <w:b/>
                <w:sz w:val="20"/>
                <w:szCs w:val="20"/>
                <w:highlight w:val="yellow"/>
              </w:rPr>
              <w:t>,</w:t>
            </w:r>
          </w:p>
          <w:p w14:paraId="3C9BE21E" w14:textId="04EAB237" w:rsidR="00710DF2" w:rsidRPr="00AE0735" w:rsidRDefault="0093332A" w:rsidP="00710DF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DRX adaptation with DCP</w:t>
            </w:r>
            <w:r w:rsidR="00536AFF">
              <w:rPr>
                <w:rFonts w:ascii="Times New Roman" w:hAnsi="Times New Roman"/>
                <w:b/>
                <w:sz w:val="20"/>
                <w:szCs w:val="20"/>
                <w:highlight w:val="yellow"/>
              </w:rPr>
              <w:t>,</w:t>
            </w:r>
          </w:p>
          <w:p w14:paraId="41676510" w14:textId="2D252434" w:rsidR="006951A2" w:rsidRDefault="00710DF2" w:rsidP="006951A2">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w:t>
            </w:r>
            <w:r w:rsidR="0093332A" w:rsidRPr="00AE0735">
              <w:rPr>
                <w:rFonts w:ascii="Times New Roman" w:hAnsi="Times New Roman"/>
                <w:b/>
                <w:sz w:val="20"/>
                <w:szCs w:val="20"/>
                <w:highlight w:val="yellow"/>
              </w:rPr>
              <w:t>ross-slot scheduling mechanism</w:t>
            </w:r>
            <w:r w:rsidR="00536AFF">
              <w:rPr>
                <w:rFonts w:ascii="Times New Roman" w:hAnsi="Times New Roman"/>
                <w:b/>
                <w:sz w:val="20"/>
                <w:szCs w:val="20"/>
                <w:highlight w:val="yellow"/>
              </w:rPr>
              <w:t>,</w:t>
            </w:r>
          </w:p>
          <w:p w14:paraId="6301DBAE" w14:textId="51C9288A" w:rsidR="00AD79F0" w:rsidRDefault="00AD79F0" w:rsidP="006951A2">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BWP adaptation</w:t>
            </w:r>
            <w:r w:rsidR="00536AFF">
              <w:rPr>
                <w:rFonts w:ascii="Times New Roman" w:hAnsi="Times New Roman"/>
                <w:b/>
                <w:sz w:val="20"/>
                <w:szCs w:val="20"/>
                <w:highlight w:val="yellow"/>
              </w:rPr>
              <w:t>,</w:t>
            </w:r>
          </w:p>
          <w:p w14:paraId="3842D12A" w14:textId="36D34B70" w:rsidR="00AD79F0" w:rsidRPr="006951A2" w:rsidRDefault="00AD79F0" w:rsidP="006951A2">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MIMO layer adaptation,</w:t>
            </w:r>
          </w:p>
          <w:p w14:paraId="1CB7A94D" w14:textId="43140766" w:rsidR="00D247B5" w:rsidRDefault="00D247B5" w:rsidP="00AD79F0">
            <w:pPr>
              <w:pStyle w:val="afa"/>
              <w:numPr>
                <w:ilvl w:val="1"/>
                <w:numId w:val="13"/>
              </w:numPr>
              <w:rPr>
                <w:rFonts w:ascii="Times New Roman" w:hAnsi="Times New Roman"/>
                <w:b/>
                <w:sz w:val="20"/>
                <w:szCs w:val="20"/>
              </w:rPr>
            </w:pPr>
            <w:r w:rsidRPr="00AE0735">
              <w:rPr>
                <w:rFonts w:ascii="Times New Roman" w:hAnsi="Times New Roman"/>
                <w:b/>
                <w:sz w:val="20"/>
                <w:szCs w:val="20"/>
                <w:highlight w:val="yellow"/>
              </w:rPr>
              <w:t xml:space="preserve">Company to report </w:t>
            </w:r>
            <w:r w:rsidR="0093332A" w:rsidRPr="00AE0735">
              <w:rPr>
                <w:rFonts w:ascii="Times New Roman" w:hAnsi="Times New Roman"/>
                <w:b/>
                <w:sz w:val="20"/>
                <w:szCs w:val="20"/>
                <w:highlight w:val="yellow"/>
              </w:rPr>
              <w:t>other assumptions</w:t>
            </w:r>
            <w:r w:rsidR="006951A2">
              <w:rPr>
                <w:rFonts w:ascii="Times New Roman" w:hAnsi="Times New Roman"/>
                <w:b/>
                <w:sz w:val="20"/>
                <w:szCs w:val="20"/>
                <w:highlight w:val="yellow"/>
              </w:rPr>
              <w:t>, e.g., short DRX cycle, SCell dormancy</w:t>
            </w:r>
            <w:r w:rsidR="0093332A" w:rsidRPr="00AE0735">
              <w:rPr>
                <w:rFonts w:ascii="Times New Roman" w:hAnsi="Times New Roman"/>
                <w:b/>
                <w:sz w:val="20"/>
                <w:szCs w:val="20"/>
                <w:highlight w:val="yellow"/>
              </w:rPr>
              <w:t xml:space="preserve"> as a </w:t>
            </w:r>
            <w:r w:rsidRPr="00AE0735">
              <w:rPr>
                <w:rFonts w:ascii="Times New Roman" w:hAnsi="Times New Roman"/>
                <w:b/>
                <w:sz w:val="20"/>
                <w:szCs w:val="20"/>
                <w:highlight w:val="yellow"/>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lastRenderedPageBreak/>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We are ok for the proposal with additional bullet. Some of the assumption may not be needed, e.g. MIMO layer adapatation for comparision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It is not clear why only subset of the Rel-15 and Rel-16 features are recommeded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Also a question that as the number of MIMO layers (DL/UL) is part of BWP configuration, do we need to mention other BWP specific configurations or can we for example assume that BWP adaptation implicitely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bl>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lastRenderedPageBreak/>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lastRenderedPageBreak/>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lastRenderedPageBreak/>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lastRenderedPageBreak/>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r>
              <w:t>Particuplarly,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AE0735" w:rsidRDefault="00615FBA" w:rsidP="00615FBA">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AE0735" w:rsidRDefault="00615FBA" w:rsidP="00326D8B">
            <w:pPr>
              <w:rPr>
                <w:b/>
                <w:highlight w:val="yellow"/>
                <w:u w:val="single"/>
                <w:lang w:eastAsia="zh-CN"/>
              </w:rPr>
            </w:pPr>
            <w:r w:rsidRPr="00AE0735">
              <w:rPr>
                <w:b/>
                <w:highlight w:val="yellow"/>
                <w:u w:val="single"/>
                <w:lang w:eastAsia="zh-CN"/>
              </w:rPr>
              <w:t>Proposal 2:</w:t>
            </w:r>
          </w:p>
          <w:p w14:paraId="43D6C6AF" w14:textId="44C99F48" w:rsidR="00615FBA" w:rsidRPr="00AE0735" w:rsidRDefault="00615FBA" w:rsidP="00326D8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Reusing power model in TR38.840 for evaluation of DCI-based power saving </w:t>
            </w:r>
            <w:r w:rsidR="00326D8B">
              <w:rPr>
                <w:rFonts w:ascii="Times New Roman" w:hAnsi="Times New Roman"/>
                <w:b/>
                <w:sz w:val="20"/>
                <w:szCs w:val="20"/>
                <w:highlight w:val="yellow"/>
              </w:rPr>
              <w:t xml:space="preserve">adaptation </w:t>
            </w:r>
            <w:r w:rsidRPr="00AE0735">
              <w:rPr>
                <w:rFonts w:ascii="Times New Roman" w:hAnsi="Times New Roman"/>
                <w:b/>
                <w:sz w:val="20"/>
                <w:szCs w:val="20"/>
                <w:highlight w:val="yellow"/>
              </w:rPr>
              <w:t xml:space="preserve">schemes. </w:t>
            </w:r>
          </w:p>
          <w:p w14:paraId="4355A675" w14:textId="4399C7E5" w:rsidR="00615FBA" w:rsidRPr="00C517DC" w:rsidRDefault="00C517DC" w:rsidP="00C517DC">
            <w:pPr>
              <w:pStyle w:val="afa"/>
              <w:numPr>
                <w:ilvl w:val="1"/>
                <w:numId w:val="14"/>
              </w:numPr>
              <w:rPr>
                <w:rFonts w:ascii="Times New Roman" w:hAnsi="Times New Roman"/>
                <w:b/>
                <w:sz w:val="20"/>
                <w:szCs w:val="20"/>
              </w:rPr>
            </w:pPr>
            <w:r w:rsidRPr="00AE0735">
              <w:rPr>
                <w:rFonts w:ascii="Times New Roman" w:hAnsi="Times New Roman"/>
                <w:b/>
                <w:sz w:val="20"/>
                <w:szCs w:val="20"/>
                <w:highlight w:val="yellow"/>
              </w:rPr>
              <w:t>Note: company reporting additional power model for missing state or update is not precluded.</w:t>
            </w:r>
            <w:r w:rsidRPr="00C517DC">
              <w:rPr>
                <w:rFonts w:ascii="Times New Roman" w:hAnsi="Times New Roman"/>
                <w:b/>
                <w:sz w:val="20"/>
                <w:szCs w:val="20"/>
              </w:rPr>
              <w:t xml:space="preserve">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lastRenderedPageBreak/>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lastRenderedPageBreak/>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77777777" w:rsidR="00CC1ACD" w:rsidRDefault="00CC1ACD" w:rsidP="00CC1ACD">
            <w:pPr>
              <w:spacing w:after="0" w:line="240" w:lineRule="auto"/>
            </w:pPr>
            <w:r>
              <w:t xml:space="preserve">We noticed that in other topic like 8.7.1.1, additional extension to RedCap is also proposed for e.g. narrwor band scaling and RedCap UEs.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The power consumption model can be maybe considered based on TS38.840, but it is not fully evident how it is assumed to be applied e.g. for UL control information. This would in our inderstanding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AE0735" w:rsidRDefault="008D70D0" w:rsidP="008D70D0">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AE0735" w:rsidRDefault="008D70D0" w:rsidP="00326D8B">
            <w:pPr>
              <w:rPr>
                <w:b/>
                <w:highlight w:val="yellow"/>
                <w:u w:val="single"/>
                <w:lang w:eastAsia="zh-CN"/>
              </w:rPr>
            </w:pPr>
            <w:r w:rsidRPr="00AE0735">
              <w:rPr>
                <w:b/>
                <w:highlight w:val="yellow"/>
                <w:u w:val="single"/>
                <w:lang w:eastAsia="zh-CN"/>
              </w:rPr>
              <w:t>Proposal 3:</w:t>
            </w:r>
          </w:p>
          <w:p w14:paraId="55838678" w14:textId="61510BAB" w:rsidR="001040E2" w:rsidRPr="00AE0735" w:rsidRDefault="001040E2" w:rsidP="001040E2">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Legacy traffic model </w:t>
            </w:r>
            <w:r w:rsidR="00497C90">
              <w:rPr>
                <w:rFonts w:ascii="Times New Roman" w:hAnsi="Times New Roman"/>
                <w:b/>
                <w:sz w:val="20"/>
                <w:szCs w:val="20"/>
                <w:highlight w:val="yellow"/>
              </w:rPr>
              <w:t xml:space="preserve">in TR38.840 </w:t>
            </w:r>
            <w:r w:rsidRPr="00AE0735">
              <w:rPr>
                <w:rFonts w:ascii="Times New Roman" w:hAnsi="Times New Roman"/>
                <w:b/>
                <w:sz w:val="20"/>
                <w:szCs w:val="20"/>
                <w:highlight w:val="yellow"/>
              </w:rPr>
              <w:t>and the follow</w:t>
            </w:r>
            <w:r w:rsidR="00112AE4">
              <w:rPr>
                <w:rFonts w:ascii="Times New Roman" w:hAnsi="Times New Roman"/>
                <w:b/>
                <w:sz w:val="20"/>
                <w:szCs w:val="20"/>
                <w:highlight w:val="yellow"/>
              </w:rPr>
              <w:t>ing</w:t>
            </w:r>
            <w:r w:rsidRPr="00AE0735">
              <w:rPr>
                <w:rFonts w:ascii="Times New Roman" w:hAnsi="Times New Roman"/>
                <w:b/>
                <w:sz w:val="20"/>
                <w:szCs w:val="20"/>
                <w:highlight w:val="yellow"/>
              </w:rPr>
              <w:t xml:space="preserve"> ‘additional traffic model’ can be used for Rel-17 DCI-based power sving adaptation evaluation, </w:t>
            </w:r>
          </w:p>
          <w:p w14:paraId="46A85286" w14:textId="65DD78B0" w:rsidR="008D70D0" w:rsidRPr="00AE0735" w:rsidRDefault="001040E2" w:rsidP="001040E2">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‘Additional traffic model’</w:t>
            </w:r>
            <w:r w:rsidR="008D70D0" w:rsidRPr="00AE0735">
              <w:rPr>
                <w:rFonts w:ascii="Times New Roman" w:hAnsi="Times New Roman"/>
                <w:b/>
                <w:sz w:val="20"/>
                <w:szCs w:val="20"/>
                <w:highlight w:val="yellow"/>
              </w:rPr>
              <w:t xml:space="preserve"> </w:t>
            </w:r>
            <w:r w:rsidR="009A6E90">
              <w:rPr>
                <w:rFonts w:ascii="Times New Roman" w:hAnsi="Times New Roman"/>
                <w:b/>
                <w:sz w:val="20"/>
                <w:szCs w:val="20"/>
                <w:highlight w:val="yellow"/>
              </w:rPr>
              <w:t xml:space="preserve">is modelled </w:t>
            </w:r>
            <w:r w:rsidR="000707BF" w:rsidRPr="00AE0735">
              <w:rPr>
                <w:rFonts w:ascii="Times New Roman" w:hAnsi="Times New Roman"/>
                <w:b/>
                <w:sz w:val="20"/>
                <w:szCs w:val="20"/>
                <w:highlight w:val="yellow"/>
              </w:rPr>
              <w:t>as follows,</w:t>
            </w:r>
          </w:p>
          <w:p w14:paraId="4272C435" w14:textId="77777777" w:rsidR="008D70D0" w:rsidRPr="00AE0735" w:rsidRDefault="008D70D0" w:rsidP="001040E2">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lastRenderedPageBreak/>
              <w:t>Based on FTP Model 3</w:t>
            </w:r>
          </w:p>
          <w:p w14:paraId="47DE03D0" w14:textId="77777777" w:rsidR="008D70D0" w:rsidRPr="00AE0735" w:rsidRDefault="008D70D0" w:rsidP="001040E2">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packet size: [0.15MB]</w:t>
            </w:r>
          </w:p>
          <w:p w14:paraId="1CE9F851" w14:textId="3D8DFA6E" w:rsidR="000707BF" w:rsidRPr="00AE0735" w:rsidRDefault="008D70D0" w:rsidP="000707BF">
            <w:pPr>
              <w:pStyle w:val="afa"/>
              <w:numPr>
                <w:ilvl w:val="1"/>
                <w:numId w:val="15"/>
              </w:numPr>
              <w:rPr>
                <w:rFonts w:ascii="Times New Roman" w:hAnsi="Times New Roman"/>
                <w:b/>
                <w:sz w:val="20"/>
                <w:szCs w:val="20"/>
                <w:highlight w:val="yellow"/>
              </w:rPr>
            </w:pPr>
            <w:r w:rsidRPr="00AE0735">
              <w:rPr>
                <w:rFonts w:ascii="Times New Roman" w:hAnsi="Times New Roman"/>
                <w:b/>
                <w:sz w:val="20"/>
                <w:szCs w:val="20"/>
                <w:highlight w:val="yellow"/>
              </w:rPr>
              <w:t>mean inter-arrival time: [50ms]</w:t>
            </w:r>
          </w:p>
          <w:p w14:paraId="252A5851" w14:textId="7C25B183" w:rsidR="009A6E90" w:rsidRPr="00AE0735" w:rsidRDefault="009A6E90" w:rsidP="000707BF">
            <w:pPr>
              <w:pStyle w:val="afa"/>
              <w:numPr>
                <w:ilvl w:val="1"/>
                <w:numId w:val="15"/>
              </w:numPr>
              <w:rPr>
                <w:rFonts w:ascii="Times New Roman" w:hAnsi="Times New Roman"/>
                <w:b/>
                <w:sz w:val="20"/>
                <w:szCs w:val="20"/>
                <w:highlight w:val="yellow"/>
              </w:rPr>
            </w:pPr>
            <w:r>
              <w:rPr>
                <w:rFonts w:ascii="Times New Roman" w:eastAsia="宋体" w:hAnsi="Times New Roman"/>
                <w:b/>
                <w:sz w:val="20"/>
                <w:szCs w:val="20"/>
                <w:highlight w:val="yellow"/>
              </w:rPr>
              <w:t xml:space="preserve">The model is applicable for DL and UL </w:t>
            </w:r>
          </w:p>
          <w:p w14:paraId="7B7AC1F9" w14:textId="77777777" w:rsidR="00497C90" w:rsidRPr="00AE0735" w:rsidRDefault="00497C90" w:rsidP="00497C90">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Company reporting which traffic model(s) is used for Rel-17  DCI-based power sving adaptation evaluation.</w:t>
            </w:r>
          </w:p>
          <w:p w14:paraId="0DE306C0" w14:textId="77777777" w:rsidR="00497C90" w:rsidRPr="009A6E90" w:rsidRDefault="00497C90" w:rsidP="00497C90">
            <w:pPr>
              <w:pStyle w:val="afa"/>
              <w:numPr>
                <w:ilvl w:val="0"/>
                <w:numId w:val="15"/>
              </w:numPr>
              <w:rPr>
                <w:rFonts w:ascii="Times New Roman" w:hAnsi="Times New Roman"/>
                <w:b/>
                <w:sz w:val="20"/>
                <w:szCs w:val="20"/>
                <w:highlight w:val="yellow"/>
              </w:rPr>
            </w:pPr>
            <w:r w:rsidRPr="00AE0735">
              <w:rPr>
                <w:rFonts w:ascii="Times New Roman" w:eastAsia="宋体" w:hAnsi="Times New Roman"/>
                <w:b/>
                <w:sz w:val="20"/>
                <w:szCs w:val="20"/>
                <w:highlight w:val="yellow"/>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To solve the square bracket we suggest to go to the majority. Seems in the original proposal, 15/16ms inter arrival time is mostly propose. Thus, it would be good he agree on 15 ms. The</w:t>
            </w:r>
            <w:r w:rsidR="00B02ABC">
              <w:t>n, the packet size can be accordingly reduced to 0.1 MB/s. We are also fine for further half the packet sizes. The data size is quite normal rates of video in now days. The application scenarios is far more less than AR/VR senarios, which will taken care by other SI.</w:t>
            </w:r>
          </w:p>
          <w:p w14:paraId="3E1157CE" w14:textId="1B3BC688" w:rsidR="00B02ABC" w:rsidRDefault="00B02ABC" w:rsidP="00B02ABC">
            <w:pPr>
              <w:spacing w:after="0" w:line="240" w:lineRule="auto"/>
            </w:pPr>
            <w:r>
              <w:t>Regading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shorther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bl>
    <w:p w14:paraId="5520C3E6" w14:textId="77777777" w:rsidR="000707BF" w:rsidRDefault="000707BF"/>
    <w:p w14:paraId="674C0AF6" w14:textId="77777777" w:rsidR="00D530E0" w:rsidRDefault="00D530E0"/>
    <w:p w14:paraId="6B4D7F58" w14:textId="77777777" w:rsidR="00D530E0" w:rsidRDefault="00063156">
      <w:pPr>
        <w:pStyle w:val="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lastRenderedPageBreak/>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lastRenderedPageBreak/>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lastRenderedPageBreak/>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The following DRX configuraiton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lastRenderedPageBreak/>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lastRenderedPageBreak/>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bl>
    <w:p w14:paraId="4FD06095" w14:textId="77777777" w:rsidR="00EA288B" w:rsidRDefault="00EA288B" w:rsidP="00EA288B"/>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4" w:name="_Ref47707133"/>
      <w:r>
        <w:rPr>
          <w:b w:val="0"/>
        </w:rPr>
        <w:t>Table XX: Assumed number of measured/total beams for RLM/BFD per DRX cycle</w:t>
      </w:r>
      <w:bookmarkEnd w:id="4"/>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lastRenderedPageBreak/>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3"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lastRenderedPageBreak/>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lastRenderedPageBreak/>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lastRenderedPageBreak/>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r>
              <w:rPr>
                <w:lang w:eastAsia="zh-CN"/>
              </w:rPr>
              <w:lastRenderedPageBreak/>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9770C1">
        <w:trPr>
          <w:trHeight w:val="276"/>
        </w:trPr>
        <w:tc>
          <w:tcPr>
            <w:tcW w:w="1290" w:type="dxa"/>
          </w:tcPr>
          <w:p w14:paraId="22A9BF7E" w14:textId="77777777" w:rsidR="00154BEF" w:rsidRDefault="00154BEF" w:rsidP="009770C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9770C1">
            <w:pPr>
              <w:spacing w:after="0" w:line="240" w:lineRule="auto"/>
            </w:pPr>
            <w:r>
              <w:rPr>
                <w:b/>
                <w:lang w:eastAsia="ja-JP"/>
              </w:rPr>
              <w:t>Comments</w:t>
            </w:r>
          </w:p>
        </w:tc>
      </w:tr>
      <w:tr w:rsidR="00154BEF" w14:paraId="52187761" w14:textId="77777777" w:rsidTr="009770C1">
        <w:trPr>
          <w:trHeight w:val="276"/>
        </w:trPr>
        <w:tc>
          <w:tcPr>
            <w:tcW w:w="1290" w:type="dxa"/>
          </w:tcPr>
          <w:p w14:paraId="0B4560EC" w14:textId="77777777" w:rsidR="00154BEF" w:rsidRPr="009770C1" w:rsidRDefault="00154BEF" w:rsidP="009770C1">
            <w:pPr>
              <w:spacing w:after="0"/>
              <w:rPr>
                <w:bCs/>
                <w:lang w:eastAsia="ja-JP"/>
              </w:rPr>
            </w:pPr>
            <w:r w:rsidRPr="009770C1">
              <w:rPr>
                <w:bCs/>
                <w:lang w:eastAsia="ja-JP"/>
              </w:rPr>
              <w:t>Nokia</w:t>
            </w:r>
          </w:p>
        </w:tc>
        <w:tc>
          <w:tcPr>
            <w:tcW w:w="8628" w:type="dxa"/>
          </w:tcPr>
          <w:p w14:paraId="7FA4031D" w14:textId="18B8F4AA" w:rsidR="00154BEF" w:rsidRDefault="00154BEF" w:rsidP="009770C1">
            <w:pPr>
              <w:spacing w:after="0"/>
              <w:rPr>
                <w:b/>
                <w:lang w:eastAsia="ja-JP"/>
              </w:rPr>
            </w:pPr>
            <w:r>
              <w:rPr>
                <w:lang w:eastAsia="zh-CN"/>
              </w:rPr>
              <w:t>We would propose to change “can be optionally modelled” to “must be modelled”. This is further needed also for RAN4 work, thus accounting it in baseline would make sense.</w:t>
            </w:r>
          </w:p>
        </w:tc>
      </w:tr>
    </w:tbl>
    <w:p w14:paraId="2C976C36" w14:textId="77777777" w:rsidR="005C682A" w:rsidRDefault="005C682A"/>
    <w:p w14:paraId="62E81B1B" w14:textId="77777777" w:rsidR="00D530E0" w:rsidRDefault="00063156">
      <w:pPr>
        <w:pStyle w:val="3"/>
        <w:rPr>
          <w:lang w:eastAsia="zh-CN"/>
        </w:rPr>
      </w:pPr>
      <w:r>
        <w:rPr>
          <w:lang w:eastAsia="zh-CN"/>
        </w:rPr>
        <w:lastRenderedPageBreak/>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lastRenderedPageBreak/>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lastRenderedPageBreak/>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lastRenderedPageBreak/>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lastRenderedPageBreak/>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lastRenderedPageBreak/>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7777777" w:rsidR="0082716B" w:rsidRDefault="0082716B" w:rsidP="00326D8B">
            <w:pPr>
              <w:rPr>
                <w:rFonts w:eastAsiaTheme="minorEastAsia"/>
                <w:lang w:eastAsia="zh-CN"/>
              </w:rPr>
            </w:pPr>
            <w:r>
              <w:rPr>
                <w:rFonts w:eastAsiaTheme="minorEastAsia"/>
                <w:lang w:eastAsia="zh-CN"/>
              </w:rPr>
              <w:t>And considerring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77777777" w:rsidR="0082716B" w:rsidRDefault="0082716B" w:rsidP="00326D8B">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77777777" w:rsidR="0082716B" w:rsidRDefault="0082716B" w:rsidP="00326D8B">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w:t>
            </w:r>
            <w:r>
              <w:rPr>
                <w:rFonts w:eastAsiaTheme="minorEastAsia"/>
                <w:lang w:eastAsia="zh-CN"/>
              </w:rPr>
              <w:lastRenderedPageBreak/>
              <w:t>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7777777"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UEs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77777777"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UEs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lastRenderedPageBreak/>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77777777" w:rsidR="00B94307" w:rsidRDefault="00F335C5" w:rsidP="00F335C5">
            <w:r w:rsidRPr="00F335C5">
              <w:t>One company stated o</w:t>
            </w:r>
            <w:r w:rsidR="006D082C" w:rsidRPr="00F335C5">
              <w:t>ther schemes such as those targeted for RedCap UEs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bl>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lastRenderedPageBreak/>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lastRenderedPageBreak/>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6" w:name="OLE_LINK9"/>
            <w:bookmarkStart w:id="7" w:name="OLE_LINK10"/>
            <w:bookmarkStart w:id="8" w:name="OLE_LINK11"/>
            <w:r>
              <w:rPr>
                <w:rFonts w:ascii="Times New Roman" w:hAnsi="Times New Roman"/>
                <w:sz w:val="20"/>
                <w:szCs w:val="20"/>
                <w:lang w:eastAsia="zh-CN"/>
              </w:rPr>
              <w:t>scheduling DCI</w:t>
            </w:r>
            <w:bookmarkEnd w:id="6"/>
            <w:bookmarkEnd w:id="7"/>
            <w:bookmarkEnd w:id="8"/>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lastRenderedPageBreak/>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lastRenderedPageBreak/>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bookmarkStart w:id="9" w:name="_GoBack"/>
      <w:bookmarkEnd w:id="9"/>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lastRenderedPageBreak/>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lastRenderedPageBreak/>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Most of schems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DCI format 2_6 to indicate adaptation of the PDCCH monitoring during active time, and it should extend DCI with ps-RNTI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With respect to (1) above;  (a) a adaptation trigger that is currently only supported in GC-PDCCH could be added also to scheduling DCI (b)  min K1/K2 value (current in scheduling DCI) could be linked with certain SS group(s).</w:t>
            </w:r>
          </w:p>
        </w:tc>
      </w:tr>
    </w:tbl>
    <w:p w14:paraId="4CBD4963" w14:textId="77777777" w:rsidR="00AD7ACE" w:rsidRDefault="00AD7ACE">
      <w:pPr>
        <w:pStyle w:val="aa"/>
        <w:spacing w:after="0"/>
        <w:rPr>
          <w:rFonts w:ascii="Times New Roman" w:hAnsi="Times New Roman"/>
          <w:szCs w:val="20"/>
          <w:lang w:val="en-GB" w:eastAsia="zh-CN"/>
        </w:rPr>
      </w:pPr>
    </w:p>
    <w:p w14:paraId="075FBC48" w14:textId="77777777" w:rsidR="00F44A4E" w:rsidRDefault="00F44A4E">
      <w:pPr>
        <w:pStyle w:val="aa"/>
        <w:spacing w:after="0"/>
        <w:rPr>
          <w:rFonts w:ascii="Times New Roman" w:hAnsi="Times New Roman"/>
          <w:szCs w:val="20"/>
          <w:lang w:val="en-GB"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lastRenderedPageBreak/>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7615E9A0" w14:textId="77777777" w:rsidR="00D530E0" w:rsidRDefault="00063156">
      <w:pPr>
        <w:pStyle w:val="aa"/>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F02A7A">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lastRenderedPageBreak/>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F02A7A">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lastRenderedPageBreak/>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F02A7A">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F02A7A">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lastRenderedPageBreak/>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lastRenderedPageBreak/>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F02A7A">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F02A7A">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F02A7A">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F02A7A">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F02A7A">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F02A7A">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F02A7A">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F02A7A">
            <w:pPr>
              <w:rPr>
                <w:lang w:eastAsia="zh-CN"/>
              </w:rPr>
            </w:pPr>
            <w:hyperlink r:id="rId28"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F02A7A">
            <w:pPr>
              <w:rPr>
                <w:lang w:eastAsia="zh-CN"/>
              </w:rPr>
            </w:pPr>
            <w:hyperlink r:id="rId29"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F02A7A">
            <w:pPr>
              <w:rPr>
                <w:lang w:eastAsia="zh-CN"/>
              </w:rPr>
            </w:pPr>
            <w:hyperlink r:id="rId30"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F02A7A">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F02A7A">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F02A7A">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F02A7A">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F02A7A">
            <w:pPr>
              <w:rPr>
                <w:lang w:eastAsia="zh-CN"/>
              </w:rPr>
            </w:pPr>
            <w:hyperlink r:id="rId35"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F02A7A">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F02A7A">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F02A7A">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F02A7A">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F02A7A">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F02A7A">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lastRenderedPageBreak/>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F02A7A">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lastRenderedPageBreak/>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lastRenderedPageBreak/>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3"/>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4" w:name="_Toc529948048"/>
      <w:r>
        <w:rPr>
          <w:sz w:val="44"/>
        </w:rPr>
        <w:lastRenderedPageBreak/>
        <w:t>Reference</w:t>
      </w:r>
      <w:bookmarkEnd w:id="14"/>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F02A7A">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F02A7A">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F02A7A">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F02A7A">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F02A7A">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F02A7A">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F02A7A">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F02A7A">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F02A7A">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F02A7A">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F02A7A">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F02A7A">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F02A7A">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F02A7A">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F02A7A">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F02A7A">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F02A7A">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F02A7A">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F02A7A">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F02A7A">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F02A7A">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F02A7A">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CB323" w14:textId="77777777" w:rsidR="00F02A7A" w:rsidRDefault="00F02A7A">
      <w:pPr>
        <w:spacing w:after="0"/>
      </w:pPr>
      <w:r>
        <w:separator/>
      </w:r>
    </w:p>
  </w:endnote>
  <w:endnote w:type="continuationSeparator" w:id="0">
    <w:p w14:paraId="74F0E50D" w14:textId="77777777" w:rsidR="00F02A7A" w:rsidRDefault="00F02A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CC1ACD" w:rsidRDefault="00CC1AC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CC1ACD" w:rsidRDefault="00CC1AC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012B59A" w:rsidR="00CC1ACD" w:rsidRDefault="00CC1ACD">
    <w:pPr>
      <w:pStyle w:val="ad"/>
      <w:ind w:right="360"/>
    </w:pPr>
    <w:r>
      <w:rPr>
        <w:rStyle w:val="af4"/>
      </w:rPr>
      <w:fldChar w:fldCharType="begin"/>
    </w:r>
    <w:r>
      <w:rPr>
        <w:rStyle w:val="af4"/>
      </w:rPr>
      <w:instrText xml:space="preserve"> PAGE </w:instrText>
    </w:r>
    <w:r>
      <w:rPr>
        <w:rStyle w:val="af4"/>
      </w:rPr>
      <w:fldChar w:fldCharType="separate"/>
    </w:r>
    <w:r w:rsidR="00477C26">
      <w:rPr>
        <w:rStyle w:val="af4"/>
        <w:noProof/>
      </w:rPr>
      <w:t>46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477C26">
      <w:rPr>
        <w:rStyle w:val="af4"/>
        <w:noProof/>
      </w:rPr>
      <w:t>55</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D69D5" w14:textId="77777777" w:rsidR="00F02A7A" w:rsidRDefault="00F02A7A">
      <w:pPr>
        <w:spacing w:after="0"/>
      </w:pPr>
      <w:r>
        <w:separator/>
      </w:r>
    </w:p>
  </w:footnote>
  <w:footnote w:type="continuationSeparator" w:id="0">
    <w:p w14:paraId="3E5F5F63" w14:textId="77777777" w:rsidR="00F02A7A" w:rsidRDefault="00F02A7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CC1ACD" w:rsidRDefault="00CC1A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D87292"/>
    <w:multiLevelType w:val="singleLevel"/>
    <w:tmpl w:val="E8D87292"/>
    <w:lvl w:ilvl="0">
      <w:start w:val="1"/>
      <w:numFmt w:val="decimal"/>
      <w:lvlText w:val="%1)"/>
      <w:lvlJc w:val="left"/>
      <w:pPr>
        <w:ind w:left="425" w:hanging="425"/>
      </w:pPr>
      <w:rPr>
        <w:rFont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3">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5">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3"/>
  </w:num>
  <w:num w:numId="3">
    <w:abstractNumId w:val="18"/>
  </w:num>
  <w:num w:numId="4">
    <w:abstractNumId w:val="41"/>
  </w:num>
  <w:num w:numId="5">
    <w:abstractNumId w:val="51"/>
  </w:num>
  <w:num w:numId="6">
    <w:abstractNumId w:val="31"/>
  </w:num>
  <w:num w:numId="7">
    <w:abstractNumId w:val="50"/>
  </w:num>
  <w:num w:numId="8">
    <w:abstractNumId w:val="26"/>
  </w:num>
  <w:num w:numId="9">
    <w:abstractNumId w:val="8"/>
  </w:num>
  <w:num w:numId="10">
    <w:abstractNumId w:val="20"/>
  </w:num>
  <w:num w:numId="11">
    <w:abstractNumId w:val="32"/>
  </w:num>
  <w:num w:numId="12">
    <w:abstractNumId w:val="42"/>
  </w:num>
  <w:num w:numId="13">
    <w:abstractNumId w:val="53"/>
  </w:num>
  <w:num w:numId="14">
    <w:abstractNumId w:val="55"/>
  </w:num>
  <w:num w:numId="15">
    <w:abstractNumId w:val="23"/>
  </w:num>
  <w:num w:numId="16">
    <w:abstractNumId w:val="38"/>
  </w:num>
  <w:num w:numId="17">
    <w:abstractNumId w:val="30"/>
  </w:num>
  <w:num w:numId="18">
    <w:abstractNumId w:val="36"/>
  </w:num>
  <w:num w:numId="19">
    <w:abstractNumId w:val="12"/>
  </w:num>
  <w:num w:numId="20">
    <w:abstractNumId w:val="4"/>
  </w:num>
  <w:num w:numId="21">
    <w:abstractNumId w:val="19"/>
  </w:num>
  <w:num w:numId="22">
    <w:abstractNumId w:val="24"/>
  </w:num>
  <w:num w:numId="23">
    <w:abstractNumId w:val="6"/>
  </w:num>
  <w:num w:numId="24">
    <w:abstractNumId w:val="5"/>
  </w:num>
  <w:num w:numId="25">
    <w:abstractNumId w:val="46"/>
  </w:num>
  <w:num w:numId="26">
    <w:abstractNumId w:val="52"/>
  </w:num>
  <w:num w:numId="27">
    <w:abstractNumId w:val="2"/>
  </w:num>
  <w:num w:numId="28">
    <w:abstractNumId w:val="15"/>
  </w:num>
  <w:num w:numId="29">
    <w:abstractNumId w:val="0"/>
  </w:num>
  <w:num w:numId="30">
    <w:abstractNumId w:val="25"/>
  </w:num>
  <w:num w:numId="31">
    <w:abstractNumId w:val="39"/>
  </w:num>
  <w:num w:numId="32">
    <w:abstractNumId w:val="9"/>
  </w:num>
  <w:num w:numId="33">
    <w:abstractNumId w:val="21"/>
  </w:num>
  <w:num w:numId="34">
    <w:abstractNumId w:val="29"/>
  </w:num>
  <w:num w:numId="35">
    <w:abstractNumId w:val="37"/>
  </w:num>
  <w:num w:numId="36">
    <w:abstractNumId w:val="43"/>
  </w:num>
  <w:num w:numId="37">
    <w:abstractNumId w:val="14"/>
  </w:num>
  <w:num w:numId="38">
    <w:abstractNumId w:val="34"/>
  </w:num>
  <w:num w:numId="39">
    <w:abstractNumId w:val="35"/>
  </w:num>
  <w:num w:numId="40">
    <w:abstractNumId w:val="7"/>
  </w:num>
  <w:num w:numId="41">
    <w:abstractNumId w:val="44"/>
  </w:num>
  <w:num w:numId="42">
    <w:abstractNumId w:val="28"/>
  </w:num>
  <w:num w:numId="43">
    <w:abstractNumId w:val="45"/>
  </w:num>
  <w:num w:numId="44">
    <w:abstractNumId w:val="22"/>
  </w:num>
  <w:num w:numId="45">
    <w:abstractNumId w:val="54"/>
  </w:num>
  <w:num w:numId="46">
    <w:abstractNumId w:val="16"/>
  </w:num>
  <w:num w:numId="47">
    <w:abstractNumId w:val="27"/>
  </w:num>
  <w:num w:numId="48">
    <w:abstractNumId w:val="40"/>
  </w:num>
  <w:num w:numId="49">
    <w:abstractNumId w:val="33"/>
  </w:num>
  <w:num w:numId="50">
    <w:abstractNumId w:val="49"/>
  </w:num>
  <w:num w:numId="51">
    <w:abstractNumId w:val="48"/>
  </w:num>
  <w:num w:numId="52">
    <w:abstractNumId w:val="3"/>
  </w:num>
  <w:num w:numId="53">
    <w:abstractNumId w:val="47"/>
  </w:num>
  <w:num w:numId="54">
    <w:abstractNumId w:val="17"/>
  </w:num>
  <w:num w:numId="55">
    <w:abstractNumId w:val="10"/>
  </w:num>
  <w:num w:numId="56">
    <w:abstractNumId w:val="53"/>
  </w:num>
  <w:num w:numId="57">
    <w:abstractNumId w:val="23"/>
  </w:num>
  <w:num w:numId="58">
    <w:abstractNumId w:val="47"/>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51">
    <w:name w:val="Grid Table 5 Dark - Accent 5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23.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9" Type="http://schemas.openxmlformats.org/officeDocument/2006/relationships/hyperlink" Target="file:///C:\Users\wanshic\OneDrive%20-%20Qualcomm\Documents\Standards\3GPP%20Standards\Meeting%20Documents\TSGR1_102\Docs\R1-2006387.zip" TargetMode="Externa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5614.zip" TargetMode="External"/><Relationship Id="rId1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 Id="rId20" Type="http://schemas.openxmlformats.org/officeDocument/2006/relationships/image" Target="media/image3.png"/><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10" Type="http://schemas.openxmlformats.org/officeDocument/2006/relationships/webSettings" Target="webSettings.xml"/><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39" Type="http://schemas.openxmlformats.org/officeDocument/2006/relationships/hyperlink" Target="http://www.3gpp.org/ftp/tsg_ran/TSG_RAN/TSGR_88e/Docs/RP-2009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CCDD2E8E-6557-4C03-80BB-90B1A80F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55</Pages>
  <Words>20572</Words>
  <Characters>117261</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137558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沈晓冬</cp:lastModifiedBy>
  <cp:revision>6</cp:revision>
  <cp:lastPrinted>2020-08-13T14:41:00Z</cp:lastPrinted>
  <dcterms:created xsi:type="dcterms:W3CDTF">2020-08-24T14:57:00Z</dcterms:created>
  <dcterms:modified xsi:type="dcterms:W3CDTF">2020-08-24T16:53:00Z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