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116794">
      <w:pPr>
        <w:pStyle w:val="af9"/>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w:t>
      </w:r>
      <w:proofErr w:type="gramStart"/>
      <w:r w:rsidRPr="00897B29">
        <w:rPr>
          <w:rFonts w:ascii="Times New Roman" w:eastAsiaTheme="minorEastAsia" w:hAnsi="Times New Roman"/>
          <w:sz w:val="20"/>
          <w:szCs w:val="20"/>
          <w:lang w:eastAsia="zh-CN"/>
        </w:rPr>
        <w:t>each</w:t>
      </w:r>
      <w:proofErr w:type="gramEnd"/>
      <w:r w:rsidRPr="00897B29">
        <w:rPr>
          <w:rFonts w:ascii="Times New Roman" w:eastAsiaTheme="minorEastAsia" w:hAnsi="Times New Roman"/>
          <w:sz w:val="20"/>
          <w:szCs w:val="20"/>
          <w:lang w:eastAsia="zh-CN"/>
        </w:rPr>
        <w:t xml:space="preserve"> subsection to collect companies’ opinions in question from Q1 – Q6. </w:t>
      </w:r>
    </w:p>
    <w:p w14:paraId="70804ADD" w14:textId="77777777" w:rsidR="00116794" w:rsidRPr="00897B29" w:rsidRDefault="00116794" w:rsidP="00116794">
      <w:pPr>
        <w:pStyle w:val="af9"/>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116794">
      <w:pPr>
        <w:pStyle w:val="af9"/>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116794">
      <w:pPr>
        <w:pStyle w:val="af9"/>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116794">
      <w:pPr>
        <w:pStyle w:val="af9"/>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116794">
      <w:pPr>
        <w:pStyle w:val="af9"/>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116794">
      <w:pPr>
        <w:pStyle w:val="af9"/>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116794">
      <w:pPr>
        <w:pStyle w:val="af9"/>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af1"/>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79600F" w:rsidRPr="004347E0" w14:paraId="05B13A2D" w14:textId="77777777" w:rsidTr="00E82268">
        <w:trPr>
          <w:trHeight w:val="300"/>
        </w:trPr>
        <w:tc>
          <w:tcPr>
            <w:tcW w:w="1290" w:type="dxa"/>
          </w:tcPr>
          <w:p w14:paraId="1469EB3B" w14:textId="77777777" w:rsidR="0079600F" w:rsidRPr="004347E0" w:rsidRDefault="0079600F" w:rsidP="0079600F">
            <w:pPr>
              <w:spacing w:after="0"/>
            </w:pPr>
          </w:p>
        </w:tc>
        <w:tc>
          <w:tcPr>
            <w:tcW w:w="1521" w:type="dxa"/>
          </w:tcPr>
          <w:p w14:paraId="3E7203EA" w14:textId="77777777" w:rsidR="0079600F" w:rsidRPr="004347E0" w:rsidRDefault="0079600F" w:rsidP="0079600F">
            <w:pPr>
              <w:spacing w:after="0"/>
            </w:pPr>
          </w:p>
        </w:tc>
        <w:tc>
          <w:tcPr>
            <w:tcW w:w="7151" w:type="dxa"/>
          </w:tcPr>
          <w:p w14:paraId="370CEB72" w14:textId="77777777" w:rsidR="0079600F" w:rsidRPr="004347E0" w:rsidRDefault="0079600F" w:rsidP="0079600F">
            <w:pPr>
              <w:spacing w:after="0"/>
            </w:pPr>
          </w:p>
        </w:tc>
      </w:tr>
      <w:tr w:rsidR="0079600F" w:rsidRPr="004347E0" w14:paraId="3F1EED49" w14:textId="77777777" w:rsidTr="00E82268">
        <w:trPr>
          <w:trHeight w:val="300"/>
        </w:trPr>
        <w:tc>
          <w:tcPr>
            <w:tcW w:w="1290" w:type="dxa"/>
          </w:tcPr>
          <w:p w14:paraId="2E8A95DA" w14:textId="77777777" w:rsidR="0079600F" w:rsidRPr="004347E0" w:rsidRDefault="0079600F" w:rsidP="0079600F">
            <w:pPr>
              <w:spacing w:after="0"/>
            </w:pPr>
          </w:p>
        </w:tc>
        <w:tc>
          <w:tcPr>
            <w:tcW w:w="1521" w:type="dxa"/>
          </w:tcPr>
          <w:p w14:paraId="15A38A64" w14:textId="77777777" w:rsidR="0079600F" w:rsidRPr="004347E0" w:rsidRDefault="0079600F" w:rsidP="0079600F">
            <w:pPr>
              <w:spacing w:after="0"/>
            </w:pPr>
          </w:p>
        </w:tc>
        <w:tc>
          <w:tcPr>
            <w:tcW w:w="7151" w:type="dxa"/>
          </w:tcPr>
          <w:p w14:paraId="3E00C8AA" w14:textId="77777777" w:rsidR="0079600F" w:rsidRPr="004347E0" w:rsidRDefault="0079600F" w:rsidP="0079600F">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f"/>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f1"/>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79600F" w:rsidRPr="004347E0" w14:paraId="4AEB75B5" w14:textId="77777777" w:rsidTr="00E4400C">
        <w:trPr>
          <w:trHeight w:val="300"/>
        </w:trPr>
        <w:tc>
          <w:tcPr>
            <w:tcW w:w="1290" w:type="dxa"/>
          </w:tcPr>
          <w:p w14:paraId="49309C72" w14:textId="77777777" w:rsidR="0079600F" w:rsidRPr="004347E0" w:rsidRDefault="0079600F" w:rsidP="0079600F">
            <w:pPr>
              <w:spacing w:after="0"/>
            </w:pPr>
          </w:p>
        </w:tc>
        <w:tc>
          <w:tcPr>
            <w:tcW w:w="1521" w:type="dxa"/>
          </w:tcPr>
          <w:p w14:paraId="68EEA0DF" w14:textId="77777777" w:rsidR="0079600F" w:rsidRPr="004347E0" w:rsidRDefault="0079600F" w:rsidP="0079600F">
            <w:pPr>
              <w:spacing w:after="0"/>
            </w:pPr>
          </w:p>
        </w:tc>
        <w:tc>
          <w:tcPr>
            <w:tcW w:w="7151" w:type="dxa"/>
          </w:tcPr>
          <w:p w14:paraId="259E7496" w14:textId="77777777" w:rsidR="0079600F" w:rsidRPr="004347E0" w:rsidRDefault="0079600F" w:rsidP="0079600F">
            <w:pPr>
              <w:spacing w:after="0"/>
            </w:pPr>
          </w:p>
        </w:tc>
      </w:tr>
      <w:tr w:rsidR="0079600F" w:rsidRPr="004347E0" w14:paraId="4D1E4D2D" w14:textId="77777777" w:rsidTr="00E4400C">
        <w:trPr>
          <w:trHeight w:val="300"/>
        </w:trPr>
        <w:tc>
          <w:tcPr>
            <w:tcW w:w="1290" w:type="dxa"/>
          </w:tcPr>
          <w:p w14:paraId="460F8B14" w14:textId="77777777" w:rsidR="0079600F" w:rsidRPr="004347E0" w:rsidRDefault="0079600F" w:rsidP="0079600F">
            <w:pPr>
              <w:spacing w:after="0"/>
            </w:pPr>
          </w:p>
        </w:tc>
        <w:tc>
          <w:tcPr>
            <w:tcW w:w="1521" w:type="dxa"/>
          </w:tcPr>
          <w:p w14:paraId="5D574E70" w14:textId="77777777" w:rsidR="0079600F" w:rsidRPr="004347E0" w:rsidRDefault="0079600F" w:rsidP="0079600F">
            <w:pPr>
              <w:spacing w:after="0"/>
            </w:pPr>
          </w:p>
        </w:tc>
        <w:tc>
          <w:tcPr>
            <w:tcW w:w="7151" w:type="dxa"/>
          </w:tcPr>
          <w:p w14:paraId="79690629" w14:textId="77777777" w:rsidR="0079600F" w:rsidRPr="004347E0" w:rsidRDefault="0079600F" w:rsidP="0079600F">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lastRenderedPageBreak/>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9"/>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9"/>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715DE6">
      <w:pPr>
        <w:pStyle w:val="af9"/>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715DE6">
      <w:pPr>
        <w:pStyle w:val="af9"/>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715DE6">
      <w:pPr>
        <w:pStyle w:val="af9"/>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f1"/>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w:t>
            </w:r>
            <w:r>
              <w:lastRenderedPageBreak/>
              <w:t xml:space="preserve">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79600F" w:rsidRPr="004347E0" w14:paraId="69A4E0F8" w14:textId="77777777" w:rsidTr="00E4400C">
        <w:trPr>
          <w:trHeight w:val="300"/>
        </w:trPr>
        <w:tc>
          <w:tcPr>
            <w:tcW w:w="1290" w:type="dxa"/>
          </w:tcPr>
          <w:p w14:paraId="7FCC0C82" w14:textId="77777777" w:rsidR="0079600F" w:rsidRPr="004347E0" w:rsidRDefault="0079600F" w:rsidP="0079600F">
            <w:pPr>
              <w:spacing w:after="0"/>
            </w:pPr>
          </w:p>
        </w:tc>
        <w:tc>
          <w:tcPr>
            <w:tcW w:w="1521" w:type="dxa"/>
          </w:tcPr>
          <w:p w14:paraId="5208E058" w14:textId="77777777" w:rsidR="0079600F" w:rsidRPr="004347E0" w:rsidRDefault="0079600F" w:rsidP="0079600F">
            <w:pPr>
              <w:spacing w:after="0"/>
            </w:pPr>
          </w:p>
        </w:tc>
        <w:tc>
          <w:tcPr>
            <w:tcW w:w="7151" w:type="dxa"/>
          </w:tcPr>
          <w:p w14:paraId="39937965" w14:textId="77777777" w:rsidR="0079600F" w:rsidRPr="004347E0" w:rsidRDefault="0079600F" w:rsidP="0079600F">
            <w:pPr>
              <w:spacing w:after="0"/>
            </w:pPr>
          </w:p>
        </w:tc>
      </w:tr>
      <w:tr w:rsidR="0079600F" w:rsidRPr="004347E0" w14:paraId="39514A2F" w14:textId="77777777" w:rsidTr="00E4400C">
        <w:trPr>
          <w:trHeight w:val="300"/>
        </w:trPr>
        <w:tc>
          <w:tcPr>
            <w:tcW w:w="1290" w:type="dxa"/>
          </w:tcPr>
          <w:p w14:paraId="75577CA8" w14:textId="77777777" w:rsidR="0079600F" w:rsidRPr="004347E0" w:rsidRDefault="0079600F" w:rsidP="0079600F">
            <w:pPr>
              <w:spacing w:after="0"/>
            </w:pPr>
          </w:p>
        </w:tc>
        <w:tc>
          <w:tcPr>
            <w:tcW w:w="1521" w:type="dxa"/>
          </w:tcPr>
          <w:p w14:paraId="38562ED2" w14:textId="77777777" w:rsidR="0079600F" w:rsidRPr="004347E0" w:rsidRDefault="0079600F" w:rsidP="0079600F">
            <w:pPr>
              <w:spacing w:after="0"/>
            </w:pPr>
          </w:p>
        </w:tc>
        <w:tc>
          <w:tcPr>
            <w:tcW w:w="7151" w:type="dxa"/>
          </w:tcPr>
          <w:p w14:paraId="5D4EF672" w14:textId="77777777" w:rsidR="0079600F" w:rsidRPr="004347E0" w:rsidRDefault="0079600F" w:rsidP="0079600F">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af1"/>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FB31CF">
            <w:pPr>
              <w:pStyle w:val="af9"/>
              <w:numPr>
                <w:ilvl w:val="0"/>
                <w:numId w:val="48"/>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FB31CF">
            <w:pPr>
              <w:pStyle w:val="af9"/>
              <w:numPr>
                <w:ilvl w:val="1"/>
                <w:numId w:val="48"/>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FB31CF">
            <w:pPr>
              <w:pStyle w:val="af9"/>
              <w:numPr>
                <w:ilvl w:val="1"/>
                <w:numId w:val="48"/>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062D94" w:rsidRPr="004347E0" w14:paraId="043E0031" w14:textId="77777777" w:rsidTr="00E4400C">
        <w:trPr>
          <w:trHeight w:val="300"/>
        </w:trPr>
        <w:tc>
          <w:tcPr>
            <w:tcW w:w="1290" w:type="dxa"/>
          </w:tcPr>
          <w:p w14:paraId="09A05BD6" w14:textId="77777777" w:rsidR="00062D94" w:rsidRPr="004347E0" w:rsidRDefault="00062D94" w:rsidP="00062D94">
            <w:pPr>
              <w:spacing w:after="0"/>
            </w:pPr>
          </w:p>
        </w:tc>
        <w:tc>
          <w:tcPr>
            <w:tcW w:w="1521" w:type="dxa"/>
          </w:tcPr>
          <w:p w14:paraId="67EFD4AA" w14:textId="77777777" w:rsidR="00062D94" w:rsidRPr="004347E0" w:rsidRDefault="00062D94" w:rsidP="00062D94">
            <w:pPr>
              <w:spacing w:after="0"/>
            </w:pPr>
          </w:p>
        </w:tc>
        <w:tc>
          <w:tcPr>
            <w:tcW w:w="7151" w:type="dxa"/>
          </w:tcPr>
          <w:p w14:paraId="76BE793D" w14:textId="77777777" w:rsidR="00062D94" w:rsidRPr="004347E0" w:rsidRDefault="00062D94" w:rsidP="00062D94">
            <w:pPr>
              <w:spacing w:after="0"/>
            </w:pPr>
          </w:p>
        </w:tc>
      </w:tr>
      <w:tr w:rsidR="00062D94" w:rsidRPr="004347E0" w14:paraId="758D12D7" w14:textId="77777777" w:rsidTr="00E4400C">
        <w:trPr>
          <w:trHeight w:val="300"/>
        </w:trPr>
        <w:tc>
          <w:tcPr>
            <w:tcW w:w="1290" w:type="dxa"/>
          </w:tcPr>
          <w:p w14:paraId="599A01FC" w14:textId="77777777" w:rsidR="00062D94" w:rsidRPr="004347E0" w:rsidRDefault="00062D94" w:rsidP="00062D94">
            <w:pPr>
              <w:spacing w:after="0"/>
            </w:pPr>
          </w:p>
        </w:tc>
        <w:tc>
          <w:tcPr>
            <w:tcW w:w="1521" w:type="dxa"/>
          </w:tcPr>
          <w:p w14:paraId="044B0481" w14:textId="77777777" w:rsidR="00062D94" w:rsidRPr="004347E0" w:rsidRDefault="00062D94" w:rsidP="00062D94">
            <w:pPr>
              <w:spacing w:after="0"/>
            </w:pPr>
          </w:p>
        </w:tc>
        <w:tc>
          <w:tcPr>
            <w:tcW w:w="7151" w:type="dxa"/>
          </w:tcPr>
          <w:p w14:paraId="4CF8882D" w14:textId="77777777" w:rsidR="00062D94" w:rsidRPr="004347E0" w:rsidRDefault="00062D94" w:rsidP="00062D94">
            <w:pPr>
              <w:spacing w:after="0"/>
            </w:pP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9"/>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9"/>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d"/>
        <w:keepNext/>
        <w:jc w:val="center"/>
        <w:rPr>
          <w:b w:val="0"/>
        </w:rPr>
      </w:pPr>
      <w:bookmarkStart w:id="4" w:name="_Ref47707133"/>
      <w:r w:rsidRPr="00E4400C">
        <w:rPr>
          <w:b w:val="0"/>
        </w:rPr>
        <w:t>Table XX: Assumed number of measured/total beams for RLM/BFD per DRX cycle</w:t>
      </w:r>
      <w:bookmarkEnd w:id="4"/>
    </w:p>
    <w:tbl>
      <w:tblPr>
        <w:tblStyle w:val="af1"/>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af1"/>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062D94" w:rsidRPr="004347E0" w14:paraId="5E948829" w14:textId="77777777" w:rsidTr="00E4400C">
        <w:trPr>
          <w:trHeight w:val="300"/>
        </w:trPr>
        <w:tc>
          <w:tcPr>
            <w:tcW w:w="1290" w:type="dxa"/>
          </w:tcPr>
          <w:p w14:paraId="68A268A6" w14:textId="77777777" w:rsidR="00062D94" w:rsidRPr="004347E0" w:rsidRDefault="00062D94" w:rsidP="00062D94">
            <w:pPr>
              <w:spacing w:after="0"/>
            </w:pPr>
          </w:p>
        </w:tc>
        <w:tc>
          <w:tcPr>
            <w:tcW w:w="1521" w:type="dxa"/>
          </w:tcPr>
          <w:p w14:paraId="3995A390" w14:textId="77777777" w:rsidR="00062D94" w:rsidRPr="004347E0" w:rsidRDefault="00062D94" w:rsidP="00062D94">
            <w:pPr>
              <w:spacing w:after="0"/>
            </w:pPr>
          </w:p>
        </w:tc>
        <w:tc>
          <w:tcPr>
            <w:tcW w:w="7151" w:type="dxa"/>
          </w:tcPr>
          <w:p w14:paraId="3CB09D6F" w14:textId="77777777" w:rsidR="00062D94" w:rsidRPr="004347E0" w:rsidRDefault="00062D94" w:rsidP="00062D94">
            <w:pPr>
              <w:spacing w:after="0"/>
            </w:pPr>
          </w:p>
        </w:tc>
      </w:tr>
      <w:tr w:rsidR="00062D94" w:rsidRPr="004347E0" w14:paraId="4C8AA9C0" w14:textId="77777777" w:rsidTr="00E4400C">
        <w:trPr>
          <w:trHeight w:val="300"/>
        </w:trPr>
        <w:tc>
          <w:tcPr>
            <w:tcW w:w="1290" w:type="dxa"/>
          </w:tcPr>
          <w:p w14:paraId="033868C3" w14:textId="77777777" w:rsidR="00062D94" w:rsidRPr="004347E0" w:rsidRDefault="00062D94" w:rsidP="00062D94">
            <w:pPr>
              <w:spacing w:after="0"/>
            </w:pPr>
          </w:p>
        </w:tc>
        <w:tc>
          <w:tcPr>
            <w:tcW w:w="1521" w:type="dxa"/>
          </w:tcPr>
          <w:p w14:paraId="2617A87B" w14:textId="77777777" w:rsidR="00062D94" w:rsidRPr="004347E0" w:rsidRDefault="00062D94" w:rsidP="00062D94">
            <w:pPr>
              <w:spacing w:after="0"/>
            </w:pPr>
          </w:p>
        </w:tc>
        <w:tc>
          <w:tcPr>
            <w:tcW w:w="7151" w:type="dxa"/>
          </w:tcPr>
          <w:p w14:paraId="74A72D88" w14:textId="77777777" w:rsidR="00062D94" w:rsidRPr="004347E0" w:rsidRDefault="00062D94" w:rsidP="00062D94">
            <w:pPr>
              <w:spacing w:after="0"/>
            </w:pP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lastRenderedPageBreak/>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f1"/>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FB31CF" w:rsidRPr="004347E0" w14:paraId="20542D9F" w14:textId="77777777" w:rsidTr="00E4400C">
        <w:trPr>
          <w:trHeight w:val="300"/>
        </w:trPr>
        <w:tc>
          <w:tcPr>
            <w:tcW w:w="1290" w:type="dxa"/>
          </w:tcPr>
          <w:p w14:paraId="1AD20726" w14:textId="77777777" w:rsidR="00FB31CF" w:rsidRPr="004347E0" w:rsidRDefault="00FB31CF" w:rsidP="00FB31CF">
            <w:pPr>
              <w:spacing w:after="0"/>
            </w:pPr>
          </w:p>
        </w:tc>
        <w:tc>
          <w:tcPr>
            <w:tcW w:w="7151" w:type="dxa"/>
          </w:tcPr>
          <w:p w14:paraId="064F03DF" w14:textId="77777777" w:rsidR="00FB31CF" w:rsidRPr="004347E0" w:rsidRDefault="00FB31CF" w:rsidP="00FB31CF">
            <w:pPr>
              <w:spacing w:after="0"/>
            </w:pP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E4400C">
      <w:pPr>
        <w:pStyle w:val="af9"/>
        <w:numPr>
          <w:ilvl w:val="1"/>
          <w:numId w:val="33"/>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E4400C">
      <w:pPr>
        <w:pStyle w:val="af9"/>
        <w:numPr>
          <w:ilvl w:val="1"/>
          <w:numId w:val="33"/>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E4400C">
      <w:pPr>
        <w:pStyle w:val="af9"/>
        <w:numPr>
          <w:ilvl w:val="1"/>
          <w:numId w:val="33"/>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lastRenderedPageBreak/>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9861A0">
      <w:pPr>
        <w:pStyle w:val="af9"/>
        <w:numPr>
          <w:ilvl w:val="0"/>
          <w:numId w:val="33"/>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9861A0">
      <w:pPr>
        <w:pStyle w:val="af9"/>
        <w:numPr>
          <w:ilvl w:val="1"/>
          <w:numId w:val="33"/>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9861A0">
      <w:pPr>
        <w:pStyle w:val="af9"/>
        <w:numPr>
          <w:ilvl w:val="2"/>
          <w:numId w:val="34"/>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9861A0">
      <w:pPr>
        <w:pStyle w:val="af9"/>
        <w:numPr>
          <w:ilvl w:val="2"/>
          <w:numId w:val="34"/>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9861A0">
      <w:pPr>
        <w:pStyle w:val="af9"/>
        <w:numPr>
          <w:ilvl w:val="2"/>
          <w:numId w:val="34"/>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d"/>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lastRenderedPageBreak/>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674F65">
      <w:pPr>
        <w:pStyle w:val="af9"/>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E4400C">
      <w:pPr>
        <w:pStyle w:val="af9"/>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E4400C">
      <w:pPr>
        <w:pStyle w:val="af9"/>
        <w:numPr>
          <w:ilvl w:val="2"/>
          <w:numId w:val="33"/>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E4400C">
      <w:pPr>
        <w:pStyle w:val="af9"/>
        <w:numPr>
          <w:ilvl w:val="2"/>
          <w:numId w:val="33"/>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674F65">
      <w:pPr>
        <w:pStyle w:val="af9"/>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674F65">
      <w:pPr>
        <w:pStyle w:val="af9"/>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BA6FAD">
      <w:pPr>
        <w:pStyle w:val="af9"/>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674F65">
      <w:pPr>
        <w:pStyle w:val="af9"/>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BA6FAD">
      <w:pPr>
        <w:pStyle w:val="af9"/>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9861A0">
      <w:pPr>
        <w:pStyle w:val="af9"/>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897B29">
      <w:pPr>
        <w:pStyle w:val="af9"/>
        <w:numPr>
          <w:ilvl w:val="0"/>
          <w:numId w:val="41"/>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897B29">
      <w:pPr>
        <w:pStyle w:val="af9"/>
        <w:numPr>
          <w:ilvl w:val="0"/>
          <w:numId w:val="41"/>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lastRenderedPageBreak/>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9861A0">
      <w:pPr>
        <w:pStyle w:val="af9"/>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9861A0">
      <w:pPr>
        <w:pStyle w:val="af9"/>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9861A0">
      <w:pPr>
        <w:pStyle w:val="af9"/>
        <w:numPr>
          <w:ilvl w:val="0"/>
          <w:numId w:val="35"/>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9861A0">
      <w:pPr>
        <w:pStyle w:val="af9"/>
        <w:numPr>
          <w:ilvl w:val="0"/>
          <w:numId w:val="35"/>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lastRenderedPageBreak/>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9861A0">
      <w:pPr>
        <w:pStyle w:val="af9"/>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E4400C">
      <w:pPr>
        <w:pStyle w:val="af9"/>
        <w:numPr>
          <w:ilvl w:val="1"/>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E4400C">
      <w:pPr>
        <w:pStyle w:val="af9"/>
        <w:numPr>
          <w:ilvl w:val="2"/>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E4400C">
      <w:pPr>
        <w:pStyle w:val="af9"/>
        <w:numPr>
          <w:ilvl w:val="2"/>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E4400C">
      <w:pPr>
        <w:pStyle w:val="af9"/>
        <w:numPr>
          <w:ilvl w:val="3"/>
          <w:numId w:val="36"/>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E4400C">
      <w:pPr>
        <w:pStyle w:val="af9"/>
        <w:numPr>
          <w:ilvl w:val="3"/>
          <w:numId w:val="36"/>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E4400C">
      <w:pPr>
        <w:pStyle w:val="af9"/>
        <w:numPr>
          <w:ilvl w:val="1"/>
          <w:numId w:val="36"/>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897B29">
      <w:pPr>
        <w:pStyle w:val="af9"/>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897B29">
      <w:pPr>
        <w:pStyle w:val="af9"/>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9861A0">
      <w:pPr>
        <w:pStyle w:val="af9"/>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9861A0">
      <w:pPr>
        <w:pStyle w:val="af9"/>
        <w:numPr>
          <w:ilvl w:val="1"/>
          <w:numId w:val="33"/>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9861A0">
      <w:pPr>
        <w:pStyle w:val="af9"/>
        <w:numPr>
          <w:ilvl w:val="1"/>
          <w:numId w:val="33"/>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9861A0">
      <w:pPr>
        <w:pStyle w:val="af9"/>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9861A0">
      <w:pPr>
        <w:pStyle w:val="af9"/>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9861A0">
      <w:pPr>
        <w:pStyle w:val="af9"/>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9861A0">
      <w:pPr>
        <w:pStyle w:val="af9"/>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897B29">
      <w:pPr>
        <w:pStyle w:val="af9"/>
        <w:numPr>
          <w:ilvl w:val="0"/>
          <w:numId w:val="40"/>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897B29">
      <w:pPr>
        <w:pStyle w:val="af9"/>
        <w:numPr>
          <w:ilvl w:val="0"/>
          <w:numId w:val="40"/>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897B29">
      <w:pPr>
        <w:pStyle w:val="af9"/>
        <w:numPr>
          <w:ilvl w:val="0"/>
          <w:numId w:val="40"/>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bl>
    <w:p w14:paraId="164CC957" w14:textId="77777777" w:rsidR="00E63593" w:rsidRDefault="00E63593" w:rsidP="004B7CD7">
      <w:pPr>
        <w:pStyle w:val="af"/>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lastRenderedPageBreak/>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FB31CF">
            <w:pPr>
              <w:pStyle w:val="af9"/>
              <w:numPr>
                <w:ilvl w:val="0"/>
                <w:numId w:val="49"/>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FB31CF">
            <w:pPr>
              <w:pStyle w:val="af9"/>
              <w:numPr>
                <w:ilvl w:val="0"/>
                <w:numId w:val="49"/>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bookmarkStart w:id="5" w:name="_GoBack" w:colFirst="0" w:colLast="0"/>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bookmarkEnd w:id="5"/>
    </w:tbl>
    <w:p w14:paraId="58B83B69" w14:textId="77777777" w:rsidR="008B67F1" w:rsidRDefault="008B67F1" w:rsidP="00897B29">
      <w:pPr>
        <w:rPr>
          <w:lang w:eastAsia="zh-CN"/>
        </w:rPr>
      </w:pPr>
    </w:p>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f"/>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f"/>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8B60BF" w:rsidP="00D525B7">
            <w:pPr>
              <w:rPr>
                <w:lang w:eastAsia="x-none"/>
              </w:rPr>
            </w:pPr>
            <w:hyperlink r:id="rId12" w:history="1">
              <w:r w:rsidR="009A4F94">
                <w:rPr>
                  <w:rStyle w:val="aff0"/>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8B60BF" w:rsidP="00DD2E38">
            <w:pPr>
              <w:rPr>
                <w:lang w:eastAsia="x-none"/>
              </w:rPr>
            </w:pPr>
            <w:hyperlink r:id="rId13" w:history="1">
              <w:r w:rsidR="009A4F94">
                <w:rPr>
                  <w:rStyle w:val="aff0"/>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f"/>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f"/>
              <w:snapToGrid w:val="0"/>
              <w:spacing w:beforeLines="50" w:before="120" w:afterLines="50"/>
              <w:rPr>
                <w:rFonts w:ascii="Times New Roman" w:hAnsi="Times New Roman"/>
                <w:lang w:eastAsia="zh-CN"/>
              </w:rPr>
            </w:pPr>
          </w:p>
          <w:p w14:paraId="562CE78E" w14:textId="77777777" w:rsidR="009A4F94" w:rsidRDefault="009A4F94" w:rsidP="009A4F94">
            <w:pPr>
              <w:pStyle w:val="ad"/>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f"/>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d"/>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d"/>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d"/>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f"/>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f"/>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f"/>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f"/>
              <w:spacing w:beforeLines="50" w:before="120" w:afterLines="50"/>
              <w:contextualSpacing/>
              <w:rPr>
                <w:rFonts w:ascii="Times New Roman" w:hAnsi="Times New Roman"/>
                <w:b/>
                <w:lang w:eastAsia="zh-CN"/>
              </w:rPr>
            </w:pPr>
          </w:p>
          <w:p w14:paraId="1B43C0FA" w14:textId="77777777" w:rsidR="009A4F94" w:rsidRDefault="009A4F94" w:rsidP="009A4F94">
            <w:pPr>
              <w:pStyle w:val="af"/>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lastRenderedPageBreak/>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af"/>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8B60BF" w:rsidP="00E579FC">
            <w:pPr>
              <w:rPr>
                <w:lang w:eastAsia="x-none"/>
              </w:rPr>
            </w:pPr>
            <w:hyperlink r:id="rId14" w:history="1">
              <w:r w:rsidR="009A4F94">
                <w:rPr>
                  <w:rStyle w:val="aff0"/>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8B60BF" w:rsidP="000A6DB0">
            <w:pPr>
              <w:rPr>
                <w:lang w:eastAsia="x-none"/>
              </w:rPr>
            </w:pPr>
            <w:hyperlink r:id="rId15" w:history="1">
              <w:r w:rsidR="00B636D3">
                <w:rPr>
                  <w:rStyle w:val="aff0"/>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f"/>
              <w:rPr>
                <w:b/>
                <w:sz w:val="22"/>
                <w:szCs w:val="22"/>
                <w:lang w:eastAsia="zh-CN"/>
              </w:rPr>
            </w:pPr>
          </w:p>
          <w:p w14:paraId="4DC2CA81"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9"/>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af9"/>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af9"/>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f"/>
              <w:rPr>
                <w:b/>
                <w:sz w:val="22"/>
                <w:szCs w:val="22"/>
                <w:lang w:eastAsia="zh-CN"/>
              </w:rPr>
            </w:pPr>
          </w:p>
          <w:p w14:paraId="0B90E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af"/>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f"/>
              <w:rPr>
                <w:b/>
                <w:sz w:val="22"/>
                <w:szCs w:val="22"/>
                <w:lang w:eastAsia="zh-CN"/>
              </w:rPr>
            </w:pPr>
          </w:p>
          <w:p w14:paraId="5B892310" w14:textId="77777777" w:rsidR="00B636D3" w:rsidRDefault="00B636D3" w:rsidP="00B636D3">
            <w:pPr>
              <w:pStyle w:val="af"/>
              <w:rPr>
                <w:b/>
                <w:sz w:val="22"/>
                <w:szCs w:val="22"/>
                <w:lang w:eastAsia="zh-CN"/>
              </w:rPr>
            </w:pPr>
          </w:p>
          <w:p w14:paraId="37130078"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f"/>
              <w:rPr>
                <w:b/>
                <w:sz w:val="22"/>
                <w:szCs w:val="22"/>
                <w:lang w:eastAsia="zh-CN"/>
              </w:rPr>
            </w:pPr>
          </w:p>
          <w:p w14:paraId="4B72B0AC"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f"/>
              <w:rPr>
                <w:b/>
                <w:sz w:val="22"/>
                <w:szCs w:val="22"/>
                <w:lang w:eastAsia="zh-CN"/>
              </w:rPr>
            </w:pPr>
          </w:p>
          <w:p w14:paraId="5FE32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f"/>
              <w:rPr>
                <w:b/>
                <w:sz w:val="22"/>
                <w:szCs w:val="22"/>
                <w:lang w:eastAsia="zh-CN"/>
              </w:rPr>
            </w:pPr>
          </w:p>
          <w:p w14:paraId="34244EE7"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f"/>
              <w:rPr>
                <w:b/>
                <w:sz w:val="22"/>
                <w:szCs w:val="22"/>
                <w:lang w:eastAsia="zh-CN"/>
              </w:rPr>
            </w:pPr>
          </w:p>
          <w:p w14:paraId="746DF34D"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f"/>
              <w:rPr>
                <w:b/>
                <w:sz w:val="22"/>
                <w:szCs w:val="22"/>
                <w:lang w:eastAsia="zh-CN"/>
              </w:rPr>
            </w:pPr>
          </w:p>
          <w:p w14:paraId="7B2EBD5A"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f"/>
              <w:rPr>
                <w:b/>
                <w:sz w:val="22"/>
                <w:szCs w:val="22"/>
                <w:lang w:eastAsia="zh-CN"/>
              </w:rPr>
            </w:pPr>
          </w:p>
          <w:p w14:paraId="1AE842F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f"/>
              <w:rPr>
                <w:b/>
                <w:sz w:val="22"/>
                <w:szCs w:val="22"/>
                <w:lang w:eastAsia="zh-CN"/>
              </w:rPr>
            </w:pPr>
          </w:p>
          <w:p w14:paraId="3923F939"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f"/>
              <w:rPr>
                <w:b/>
                <w:sz w:val="22"/>
                <w:szCs w:val="22"/>
                <w:lang w:eastAsia="zh-CN"/>
              </w:rPr>
            </w:pPr>
          </w:p>
          <w:p w14:paraId="4F3A9F68"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f"/>
              <w:rPr>
                <w:b/>
                <w:sz w:val="22"/>
                <w:szCs w:val="22"/>
                <w:lang w:eastAsia="zh-CN"/>
              </w:rPr>
            </w:pPr>
          </w:p>
          <w:p w14:paraId="493A7C7F"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f"/>
              <w:rPr>
                <w:b/>
                <w:sz w:val="22"/>
                <w:szCs w:val="22"/>
                <w:lang w:eastAsia="zh-CN"/>
              </w:rPr>
            </w:pPr>
          </w:p>
          <w:p w14:paraId="60B5CC39"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f"/>
              <w:rPr>
                <w:b/>
                <w:sz w:val="22"/>
                <w:szCs w:val="22"/>
                <w:lang w:eastAsia="zh-CN"/>
              </w:rPr>
            </w:pPr>
          </w:p>
          <w:p w14:paraId="7E4B30A6"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9"/>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8B60BF" w:rsidP="00421F1A">
            <w:pPr>
              <w:rPr>
                <w:lang w:eastAsia="x-none"/>
              </w:rPr>
            </w:pPr>
            <w:hyperlink r:id="rId19" w:history="1">
              <w:r w:rsidR="003C5EA7">
                <w:rPr>
                  <w:rStyle w:val="aff0"/>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f"/>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8B60BF" w:rsidP="00DF7FB0">
            <w:pPr>
              <w:rPr>
                <w:lang w:eastAsia="x-none"/>
              </w:rPr>
            </w:pPr>
            <w:hyperlink r:id="rId20" w:history="1">
              <w:r w:rsidR="0091257C">
                <w:rPr>
                  <w:rStyle w:val="aff0"/>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8B60BF" w:rsidP="00DF7FB0">
            <w:pPr>
              <w:rPr>
                <w:lang w:eastAsia="x-none"/>
              </w:rPr>
            </w:pPr>
            <w:hyperlink r:id="rId21" w:history="1">
              <w:r w:rsidR="00E20B9E">
                <w:rPr>
                  <w:rStyle w:val="aff0"/>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8B60BF" w:rsidP="00DF7FB0">
            <w:pPr>
              <w:rPr>
                <w:lang w:eastAsia="x-none"/>
              </w:rPr>
            </w:pPr>
            <w:hyperlink r:id="rId22" w:history="1">
              <w:r w:rsidR="00746431">
                <w:rPr>
                  <w:rStyle w:val="aff0"/>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8B60BF" w:rsidP="002A4EB6">
            <w:pPr>
              <w:rPr>
                <w:lang w:eastAsia="x-none"/>
              </w:rPr>
            </w:pPr>
            <w:hyperlink r:id="rId23" w:history="1">
              <w:r w:rsidR="00177D00">
                <w:rPr>
                  <w:rStyle w:val="aff0"/>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8B60BF" w:rsidP="002A4EB6">
            <w:pPr>
              <w:rPr>
                <w:lang w:eastAsia="x-none"/>
              </w:rPr>
            </w:pPr>
            <w:hyperlink r:id="rId24" w:history="1">
              <w:r w:rsidR="00590E38">
                <w:rPr>
                  <w:rStyle w:val="aff0"/>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8B60BF" w:rsidP="00DF7FB0">
            <w:pPr>
              <w:rPr>
                <w:lang w:eastAsia="x-none"/>
              </w:rPr>
            </w:pPr>
            <w:hyperlink r:id="rId25" w:history="1">
              <w:r w:rsidR="001E19E1">
                <w:rPr>
                  <w:rStyle w:val="aff0"/>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8B60BF" w:rsidP="00DF7FB0">
            <w:pPr>
              <w:rPr>
                <w:lang w:eastAsia="x-none"/>
              </w:rPr>
            </w:pPr>
            <w:hyperlink r:id="rId26" w:history="1">
              <w:r w:rsidR="00494F4D">
                <w:rPr>
                  <w:rStyle w:val="aff0"/>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8B60BF" w:rsidP="00DD4EFD">
            <w:pPr>
              <w:rPr>
                <w:lang w:eastAsia="x-none"/>
              </w:rPr>
            </w:pPr>
            <w:hyperlink r:id="rId27" w:history="1">
              <w:r w:rsidR="00494F4D">
                <w:rPr>
                  <w:rStyle w:val="aff0"/>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f"/>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f"/>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f"/>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8B60BF" w:rsidP="00DD4EFD">
            <w:pPr>
              <w:rPr>
                <w:lang w:eastAsia="x-none"/>
              </w:rPr>
            </w:pPr>
            <w:hyperlink r:id="rId28" w:history="1">
              <w:r w:rsidR="002D591C">
                <w:rPr>
                  <w:rStyle w:val="aff0"/>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9"/>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8B60BF" w:rsidP="00DF7FB0">
            <w:pPr>
              <w:rPr>
                <w:lang w:eastAsia="x-none"/>
              </w:rPr>
            </w:pPr>
            <w:hyperlink r:id="rId29" w:history="1">
              <w:r w:rsidR="009079E4">
                <w:rPr>
                  <w:rStyle w:val="aff0"/>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8B60BF" w:rsidP="00DF7FB0">
            <w:pPr>
              <w:rPr>
                <w:lang w:eastAsia="x-none"/>
              </w:rPr>
            </w:pPr>
            <w:hyperlink r:id="rId30" w:history="1">
              <w:r w:rsidR="009079E4">
                <w:rPr>
                  <w:rStyle w:val="aff0"/>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8B60BF" w:rsidP="00DF7FB0">
            <w:pPr>
              <w:rPr>
                <w:lang w:eastAsia="x-none"/>
              </w:rPr>
            </w:pPr>
            <w:hyperlink r:id="rId31" w:history="1">
              <w:r w:rsidR="00CE5BCD">
                <w:rPr>
                  <w:rStyle w:val="aff0"/>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8B60BF" w:rsidP="00CC0DDE">
            <w:pPr>
              <w:rPr>
                <w:lang w:eastAsia="x-none"/>
              </w:rPr>
            </w:pPr>
            <w:hyperlink r:id="rId32" w:history="1">
              <w:r w:rsidR="00C222BA">
                <w:rPr>
                  <w:rStyle w:val="aff0"/>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8B60BF" w:rsidP="009E1AFA">
            <w:pPr>
              <w:rPr>
                <w:lang w:eastAsia="x-none"/>
              </w:rPr>
            </w:pPr>
            <w:hyperlink r:id="rId33" w:history="1">
              <w:r w:rsidR="009E1AFA">
                <w:rPr>
                  <w:rStyle w:val="aff0"/>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f6"/>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f0"/>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8B60BF" w:rsidP="009E1AFA">
            <w:pPr>
              <w:pStyle w:val="aff6"/>
              <w:tabs>
                <w:tab w:val="right" w:leader="dot" w:pos="9962"/>
              </w:tabs>
              <w:rPr>
                <w:rFonts w:asciiTheme="minorHAnsi" w:hAnsiTheme="minorHAnsi"/>
                <w:noProof/>
                <w:sz w:val="20"/>
                <w:szCs w:val="20"/>
                <w:lang w:eastAsia="ko-KR"/>
              </w:rPr>
            </w:pPr>
            <w:hyperlink w:anchor="_Toc47691395" w:history="1">
              <w:r w:rsidR="009E1AFA" w:rsidRPr="009E1AFA">
                <w:rPr>
                  <w:rStyle w:val="aff0"/>
                  <w:noProof/>
                  <w:sz w:val="20"/>
                  <w:szCs w:val="20"/>
                </w:rPr>
                <w:t>Observation 2: For Rel-17 connected-mode power saving evaluation, evaluation for Short cycle DRX is not necessary.</w:t>
              </w:r>
            </w:hyperlink>
          </w:p>
          <w:p w14:paraId="4CAB24A8" w14:textId="77777777" w:rsidR="009E1AFA" w:rsidRPr="009E1AFA" w:rsidRDefault="008B60BF" w:rsidP="009E1AFA">
            <w:pPr>
              <w:pStyle w:val="aff6"/>
              <w:tabs>
                <w:tab w:val="right" w:leader="dot" w:pos="9962"/>
              </w:tabs>
              <w:rPr>
                <w:rFonts w:asciiTheme="minorHAnsi" w:hAnsiTheme="minorHAnsi"/>
                <w:noProof/>
                <w:sz w:val="20"/>
                <w:szCs w:val="20"/>
                <w:lang w:eastAsia="ko-KR"/>
              </w:rPr>
            </w:pPr>
            <w:hyperlink w:anchor="_Toc47691396" w:history="1">
              <w:r w:rsidR="009E1AFA" w:rsidRPr="009E1AFA">
                <w:rPr>
                  <w:rStyle w:val="aff0"/>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8B60BF" w:rsidP="009E1AFA">
            <w:pPr>
              <w:pStyle w:val="aff6"/>
              <w:tabs>
                <w:tab w:val="right" w:leader="dot" w:pos="9962"/>
              </w:tabs>
              <w:rPr>
                <w:rFonts w:asciiTheme="minorHAnsi" w:hAnsiTheme="minorHAnsi"/>
                <w:noProof/>
                <w:sz w:val="20"/>
                <w:szCs w:val="20"/>
                <w:lang w:eastAsia="ko-KR"/>
              </w:rPr>
            </w:pPr>
            <w:hyperlink w:anchor="_Toc47691397" w:history="1">
              <w:r w:rsidR="009E1AFA" w:rsidRPr="009E1AFA">
                <w:rPr>
                  <w:rStyle w:val="aff0"/>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f6"/>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f6"/>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f0"/>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8B60BF" w:rsidP="009E1AFA">
            <w:pPr>
              <w:pStyle w:val="aff6"/>
              <w:tabs>
                <w:tab w:val="right" w:leader="dot" w:pos="9962"/>
              </w:tabs>
              <w:rPr>
                <w:rFonts w:asciiTheme="minorHAnsi" w:hAnsiTheme="minorHAnsi"/>
                <w:noProof/>
                <w:sz w:val="20"/>
                <w:szCs w:val="20"/>
                <w:lang w:eastAsia="ko-KR"/>
              </w:rPr>
            </w:pPr>
            <w:hyperlink w:anchor="_Toc47691399" w:history="1">
              <w:r w:rsidR="009E1AFA" w:rsidRPr="009E1AFA">
                <w:rPr>
                  <w:rStyle w:val="aff0"/>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8B60BF" w:rsidP="009E1AFA">
            <w:pPr>
              <w:pStyle w:val="aff6"/>
              <w:tabs>
                <w:tab w:val="right" w:leader="dot" w:pos="9962"/>
              </w:tabs>
              <w:rPr>
                <w:rFonts w:asciiTheme="minorHAnsi" w:hAnsiTheme="minorHAnsi"/>
                <w:noProof/>
                <w:sz w:val="20"/>
                <w:szCs w:val="20"/>
                <w:lang w:eastAsia="ko-KR"/>
              </w:rPr>
            </w:pPr>
            <w:hyperlink w:anchor="_Toc47691400" w:history="1">
              <w:r w:rsidR="009E1AFA" w:rsidRPr="009E1AFA">
                <w:rPr>
                  <w:rStyle w:val="aff0"/>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8B60BF" w:rsidP="009E1AFA">
            <w:pPr>
              <w:rPr>
                <w:lang w:eastAsia="x-none"/>
              </w:rPr>
            </w:pPr>
            <w:hyperlink r:id="rId34" w:history="1">
              <w:r w:rsidR="009E1AFA">
                <w:rPr>
                  <w:rStyle w:val="aff0"/>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8B60BF" w:rsidP="00293900">
            <w:pPr>
              <w:rPr>
                <w:lang w:eastAsia="x-none"/>
              </w:rPr>
            </w:pPr>
            <w:hyperlink r:id="rId35" w:history="1">
              <w:r w:rsidR="00293900">
                <w:rPr>
                  <w:rStyle w:val="aff0"/>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6" w:history="1">
        <w:r>
          <w:rPr>
            <w:rStyle w:val="aff0"/>
            <w:lang w:eastAsia="x-none"/>
          </w:rPr>
          <w:t>R1-2005614</w:t>
        </w:r>
      </w:hyperlink>
      <w:r>
        <w:rPr>
          <w:lang w:val="en-GB" w:eastAsia="zh-CN"/>
        </w:rPr>
        <w:t>] as follows,</w:t>
      </w:r>
    </w:p>
    <w:tbl>
      <w:tblPr>
        <w:tblStyle w:val="af1"/>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9"/>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9"/>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7" w:history="1">
        <w:r w:rsidR="002D628D" w:rsidRPr="00F02597">
          <w:rPr>
            <w:rStyle w:val="aff0"/>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f"/>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8B60BF" w:rsidP="009861A0">
      <w:pPr>
        <w:pStyle w:val="af9"/>
        <w:numPr>
          <w:ilvl w:val="0"/>
          <w:numId w:val="11"/>
        </w:numPr>
        <w:rPr>
          <w:rFonts w:ascii="Times New Roman" w:hAnsi="Times New Roman"/>
          <w:lang w:eastAsia="x-none"/>
        </w:rPr>
      </w:pPr>
      <w:hyperlink r:id="rId38" w:history="1">
        <w:r w:rsidR="002D628D" w:rsidRPr="002D628D">
          <w:rPr>
            <w:rStyle w:val="aff0"/>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8B60BF" w:rsidP="009861A0">
      <w:pPr>
        <w:pStyle w:val="af9"/>
        <w:numPr>
          <w:ilvl w:val="0"/>
          <w:numId w:val="11"/>
        </w:numPr>
        <w:rPr>
          <w:rFonts w:ascii="Times New Roman" w:hAnsi="Times New Roman"/>
          <w:lang w:eastAsia="x-none"/>
        </w:rPr>
      </w:pPr>
      <w:hyperlink r:id="rId39" w:history="1">
        <w:r w:rsidR="002D628D" w:rsidRPr="002D628D">
          <w:rPr>
            <w:rStyle w:val="aff0"/>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8B60BF" w:rsidP="009861A0">
      <w:pPr>
        <w:pStyle w:val="af9"/>
        <w:numPr>
          <w:ilvl w:val="0"/>
          <w:numId w:val="11"/>
        </w:numPr>
        <w:rPr>
          <w:rFonts w:ascii="Times New Roman" w:hAnsi="Times New Roman"/>
          <w:lang w:eastAsia="x-none"/>
        </w:rPr>
      </w:pPr>
      <w:hyperlink r:id="rId40" w:history="1">
        <w:r w:rsidR="002D628D" w:rsidRPr="002D628D">
          <w:rPr>
            <w:rStyle w:val="aff0"/>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8B60BF" w:rsidP="009861A0">
      <w:pPr>
        <w:pStyle w:val="af9"/>
        <w:numPr>
          <w:ilvl w:val="0"/>
          <w:numId w:val="11"/>
        </w:numPr>
        <w:rPr>
          <w:rFonts w:ascii="Times New Roman" w:hAnsi="Times New Roman"/>
          <w:lang w:eastAsia="x-none"/>
        </w:rPr>
      </w:pPr>
      <w:hyperlink r:id="rId41" w:history="1">
        <w:r w:rsidR="00897B29" w:rsidRPr="00897B29">
          <w:rPr>
            <w:rStyle w:val="aff0"/>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8B60BF" w:rsidP="009861A0">
      <w:pPr>
        <w:pStyle w:val="af9"/>
        <w:numPr>
          <w:ilvl w:val="0"/>
          <w:numId w:val="11"/>
        </w:numPr>
        <w:rPr>
          <w:rFonts w:ascii="Times New Roman" w:hAnsi="Times New Roman"/>
          <w:lang w:eastAsia="x-none"/>
        </w:rPr>
      </w:pPr>
      <w:hyperlink r:id="rId42" w:history="1">
        <w:r w:rsidR="002D628D" w:rsidRPr="002D628D">
          <w:rPr>
            <w:rStyle w:val="aff0"/>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8B60BF" w:rsidP="009861A0">
      <w:pPr>
        <w:pStyle w:val="af9"/>
        <w:numPr>
          <w:ilvl w:val="0"/>
          <w:numId w:val="11"/>
        </w:numPr>
        <w:rPr>
          <w:rFonts w:ascii="Times New Roman" w:hAnsi="Times New Roman"/>
          <w:lang w:eastAsia="x-none"/>
        </w:rPr>
      </w:pPr>
      <w:hyperlink r:id="rId43" w:history="1">
        <w:r w:rsidR="002D628D" w:rsidRPr="002D628D">
          <w:rPr>
            <w:rStyle w:val="aff0"/>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8B60BF" w:rsidP="009861A0">
      <w:pPr>
        <w:pStyle w:val="af9"/>
        <w:numPr>
          <w:ilvl w:val="0"/>
          <w:numId w:val="11"/>
        </w:numPr>
        <w:rPr>
          <w:rFonts w:ascii="Times New Roman" w:hAnsi="Times New Roman"/>
          <w:lang w:eastAsia="x-none"/>
        </w:rPr>
      </w:pPr>
      <w:hyperlink r:id="rId44" w:history="1">
        <w:r w:rsidR="002D628D" w:rsidRPr="002D628D">
          <w:rPr>
            <w:rStyle w:val="aff0"/>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8B60BF" w:rsidP="009861A0">
      <w:pPr>
        <w:pStyle w:val="af9"/>
        <w:numPr>
          <w:ilvl w:val="0"/>
          <w:numId w:val="11"/>
        </w:numPr>
        <w:rPr>
          <w:rFonts w:ascii="Times New Roman" w:hAnsi="Times New Roman"/>
          <w:lang w:eastAsia="x-none"/>
        </w:rPr>
      </w:pPr>
      <w:hyperlink r:id="rId45" w:history="1">
        <w:r w:rsidR="002D628D" w:rsidRPr="002D628D">
          <w:rPr>
            <w:rStyle w:val="aff0"/>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8B60BF" w:rsidP="009861A0">
      <w:pPr>
        <w:pStyle w:val="af9"/>
        <w:numPr>
          <w:ilvl w:val="0"/>
          <w:numId w:val="11"/>
        </w:numPr>
        <w:rPr>
          <w:rFonts w:ascii="Times New Roman" w:hAnsi="Times New Roman"/>
          <w:lang w:eastAsia="x-none"/>
        </w:rPr>
      </w:pPr>
      <w:hyperlink r:id="rId46" w:history="1">
        <w:r w:rsidR="002D628D" w:rsidRPr="002D628D">
          <w:rPr>
            <w:rStyle w:val="aff0"/>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8B60BF" w:rsidP="009861A0">
      <w:pPr>
        <w:pStyle w:val="af9"/>
        <w:numPr>
          <w:ilvl w:val="0"/>
          <w:numId w:val="11"/>
        </w:numPr>
        <w:rPr>
          <w:rFonts w:ascii="Times New Roman" w:hAnsi="Times New Roman"/>
          <w:lang w:eastAsia="x-none"/>
        </w:rPr>
      </w:pPr>
      <w:hyperlink r:id="rId47" w:history="1">
        <w:r w:rsidR="002D628D" w:rsidRPr="002D628D">
          <w:rPr>
            <w:rStyle w:val="aff0"/>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8B60BF" w:rsidP="009861A0">
      <w:pPr>
        <w:pStyle w:val="af9"/>
        <w:numPr>
          <w:ilvl w:val="0"/>
          <w:numId w:val="11"/>
        </w:numPr>
        <w:rPr>
          <w:rFonts w:ascii="Times New Roman" w:hAnsi="Times New Roman"/>
          <w:lang w:eastAsia="x-none"/>
        </w:rPr>
      </w:pPr>
      <w:hyperlink r:id="rId48" w:history="1">
        <w:r w:rsidR="002D628D" w:rsidRPr="002D628D">
          <w:rPr>
            <w:rStyle w:val="aff0"/>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8B60BF" w:rsidP="009861A0">
      <w:pPr>
        <w:pStyle w:val="af9"/>
        <w:numPr>
          <w:ilvl w:val="0"/>
          <w:numId w:val="11"/>
        </w:numPr>
        <w:rPr>
          <w:rFonts w:ascii="Times New Roman" w:hAnsi="Times New Roman"/>
          <w:lang w:eastAsia="x-none"/>
        </w:rPr>
      </w:pPr>
      <w:hyperlink r:id="rId49" w:history="1">
        <w:r w:rsidR="002D628D" w:rsidRPr="002D628D">
          <w:rPr>
            <w:rStyle w:val="aff0"/>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8B60BF" w:rsidP="009861A0">
      <w:pPr>
        <w:pStyle w:val="af9"/>
        <w:numPr>
          <w:ilvl w:val="0"/>
          <w:numId w:val="11"/>
        </w:numPr>
        <w:rPr>
          <w:rFonts w:ascii="Times New Roman" w:hAnsi="Times New Roman"/>
          <w:lang w:eastAsia="x-none"/>
        </w:rPr>
      </w:pPr>
      <w:hyperlink r:id="rId50" w:history="1">
        <w:r w:rsidR="002D628D" w:rsidRPr="002D628D">
          <w:rPr>
            <w:rStyle w:val="aff0"/>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8B60BF" w:rsidP="009861A0">
      <w:pPr>
        <w:pStyle w:val="af9"/>
        <w:numPr>
          <w:ilvl w:val="0"/>
          <w:numId w:val="11"/>
        </w:numPr>
        <w:rPr>
          <w:rFonts w:ascii="Times New Roman" w:hAnsi="Times New Roman"/>
          <w:lang w:eastAsia="x-none"/>
        </w:rPr>
      </w:pPr>
      <w:hyperlink r:id="rId51" w:history="1">
        <w:r w:rsidR="002D628D" w:rsidRPr="002D628D">
          <w:rPr>
            <w:rStyle w:val="aff0"/>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8B60BF" w:rsidP="009861A0">
      <w:pPr>
        <w:pStyle w:val="af9"/>
        <w:numPr>
          <w:ilvl w:val="0"/>
          <w:numId w:val="11"/>
        </w:numPr>
        <w:rPr>
          <w:rFonts w:ascii="Times New Roman" w:hAnsi="Times New Roman"/>
          <w:lang w:eastAsia="x-none"/>
        </w:rPr>
      </w:pPr>
      <w:hyperlink r:id="rId52" w:history="1">
        <w:r w:rsidR="002D628D" w:rsidRPr="002D628D">
          <w:rPr>
            <w:rStyle w:val="aff0"/>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8B60BF" w:rsidP="009861A0">
      <w:pPr>
        <w:pStyle w:val="af9"/>
        <w:numPr>
          <w:ilvl w:val="0"/>
          <w:numId w:val="11"/>
        </w:numPr>
        <w:rPr>
          <w:rFonts w:ascii="Times New Roman" w:hAnsi="Times New Roman"/>
          <w:lang w:eastAsia="x-none"/>
        </w:rPr>
      </w:pPr>
      <w:hyperlink r:id="rId53" w:history="1">
        <w:r w:rsidR="002D628D" w:rsidRPr="002D628D">
          <w:rPr>
            <w:rStyle w:val="aff0"/>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8B60BF" w:rsidP="009861A0">
      <w:pPr>
        <w:pStyle w:val="af9"/>
        <w:numPr>
          <w:ilvl w:val="0"/>
          <w:numId w:val="11"/>
        </w:numPr>
        <w:rPr>
          <w:rFonts w:ascii="Times New Roman" w:hAnsi="Times New Roman"/>
          <w:lang w:eastAsia="x-none"/>
        </w:rPr>
      </w:pPr>
      <w:hyperlink r:id="rId54" w:history="1">
        <w:r w:rsidR="002D628D" w:rsidRPr="002D628D">
          <w:rPr>
            <w:rStyle w:val="aff0"/>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8B60BF" w:rsidP="009861A0">
      <w:pPr>
        <w:pStyle w:val="af9"/>
        <w:numPr>
          <w:ilvl w:val="0"/>
          <w:numId w:val="11"/>
        </w:numPr>
        <w:rPr>
          <w:rFonts w:ascii="Times New Roman" w:hAnsi="Times New Roman"/>
          <w:lang w:eastAsia="x-none"/>
        </w:rPr>
      </w:pPr>
      <w:hyperlink r:id="rId55" w:history="1">
        <w:r w:rsidR="002D628D" w:rsidRPr="002D628D">
          <w:rPr>
            <w:rStyle w:val="aff0"/>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8B60BF" w:rsidP="009861A0">
      <w:pPr>
        <w:pStyle w:val="af9"/>
        <w:numPr>
          <w:ilvl w:val="0"/>
          <w:numId w:val="11"/>
        </w:numPr>
        <w:rPr>
          <w:rFonts w:ascii="Times New Roman" w:hAnsi="Times New Roman"/>
          <w:lang w:eastAsia="x-none"/>
        </w:rPr>
      </w:pPr>
      <w:hyperlink r:id="rId56" w:history="1">
        <w:r w:rsidR="002D628D" w:rsidRPr="002D628D">
          <w:rPr>
            <w:rStyle w:val="aff0"/>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8B60BF" w:rsidP="009861A0">
      <w:pPr>
        <w:pStyle w:val="af9"/>
        <w:numPr>
          <w:ilvl w:val="0"/>
          <w:numId w:val="11"/>
        </w:numPr>
        <w:rPr>
          <w:rFonts w:ascii="Times New Roman" w:hAnsi="Times New Roman"/>
          <w:lang w:eastAsia="x-none"/>
        </w:rPr>
      </w:pPr>
      <w:hyperlink r:id="rId57" w:history="1">
        <w:r w:rsidR="002D628D" w:rsidRPr="002D628D">
          <w:rPr>
            <w:rStyle w:val="aff0"/>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8B60BF" w:rsidP="009861A0">
      <w:pPr>
        <w:pStyle w:val="af9"/>
        <w:numPr>
          <w:ilvl w:val="0"/>
          <w:numId w:val="11"/>
        </w:numPr>
        <w:rPr>
          <w:rFonts w:ascii="Times New Roman" w:hAnsi="Times New Roman"/>
          <w:lang w:eastAsia="x-none"/>
        </w:rPr>
      </w:pPr>
      <w:hyperlink r:id="rId58" w:history="1">
        <w:r w:rsidR="002D628D" w:rsidRPr="002D628D">
          <w:rPr>
            <w:rStyle w:val="aff0"/>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1"/>
      <w:r>
        <w:rPr>
          <w:sz w:val="22"/>
        </w:rPr>
        <w:t>-e</w:t>
      </w:r>
      <w:r w:rsidRPr="009D329B">
        <w:rPr>
          <w:sz w:val="22"/>
        </w:rPr>
        <w:t xml:space="preserve"> </w:t>
      </w:r>
    </w:p>
    <w:p w14:paraId="1147BE0F" w14:textId="77777777" w:rsidR="00470514" w:rsidRPr="00470514" w:rsidRDefault="008B60BF" w:rsidP="009861A0">
      <w:pPr>
        <w:pStyle w:val="af9"/>
        <w:numPr>
          <w:ilvl w:val="0"/>
          <w:numId w:val="11"/>
        </w:numPr>
        <w:rPr>
          <w:rFonts w:ascii="Times New Roman" w:hAnsi="Times New Roman"/>
          <w:lang w:eastAsia="x-none"/>
        </w:rPr>
      </w:pPr>
      <w:hyperlink r:id="rId59" w:history="1">
        <w:r w:rsidR="00470514" w:rsidRPr="00470514">
          <w:rPr>
            <w:rStyle w:val="aff0"/>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E4CE" w14:textId="77777777" w:rsidR="008B60BF" w:rsidRDefault="008B60BF">
      <w:r>
        <w:separator/>
      </w:r>
    </w:p>
  </w:endnote>
  <w:endnote w:type="continuationSeparator" w:id="0">
    <w:p w14:paraId="27B6FCFA" w14:textId="77777777" w:rsidR="008B60BF" w:rsidRDefault="008B60BF">
      <w:r>
        <w:continuationSeparator/>
      </w:r>
    </w:p>
  </w:endnote>
  <w:endnote w:type="continuationNotice" w:id="1">
    <w:p w14:paraId="3F302F20" w14:textId="77777777" w:rsidR="008B60BF" w:rsidRDefault="008B6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1" w14:textId="77777777" w:rsidR="00874091" w:rsidRDefault="00874091" w:rsidP="00F837D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E0ACA2" w14:textId="77777777" w:rsidR="00874091" w:rsidRDefault="0087409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3" w14:textId="52BD9D26" w:rsidR="00874091" w:rsidRDefault="00874091" w:rsidP="00450D3B">
    <w:pPr>
      <w:pStyle w:val="aa"/>
      <w:ind w:right="360"/>
    </w:pPr>
    <w:r>
      <w:rPr>
        <w:rStyle w:val="af2"/>
      </w:rPr>
      <w:fldChar w:fldCharType="begin"/>
    </w:r>
    <w:r>
      <w:rPr>
        <w:rStyle w:val="af2"/>
      </w:rPr>
      <w:instrText xml:space="preserve"> PAGE </w:instrText>
    </w:r>
    <w:r>
      <w:rPr>
        <w:rStyle w:val="af2"/>
      </w:rPr>
      <w:fldChar w:fldCharType="separate"/>
    </w:r>
    <w:r w:rsidR="00062D94">
      <w:rPr>
        <w:rStyle w:val="af2"/>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062D94">
      <w:rPr>
        <w:rStyle w:val="af2"/>
      </w:rPr>
      <w:t>22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BD23" w14:textId="77777777" w:rsidR="008B60BF" w:rsidRDefault="008B60BF">
      <w:r>
        <w:separator/>
      </w:r>
    </w:p>
  </w:footnote>
  <w:footnote w:type="continuationSeparator" w:id="0">
    <w:p w14:paraId="05EA597F" w14:textId="77777777" w:rsidR="008B60BF" w:rsidRDefault="008B60BF">
      <w:r>
        <w:continuationSeparator/>
      </w:r>
    </w:p>
  </w:footnote>
  <w:footnote w:type="continuationNotice" w:id="1">
    <w:p w14:paraId="39421E4E" w14:textId="77777777" w:rsidR="008B60BF" w:rsidRDefault="008B60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693165"/>
    <w:multiLevelType w:val="hybridMultilevel"/>
    <w:tmpl w:val="663474DE"/>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35CFA"/>
    <w:multiLevelType w:val="hybridMultilevel"/>
    <w:tmpl w:val="3426E7CA"/>
    <w:lvl w:ilvl="0" w:tplc="112068B4">
      <w:start w:val="1"/>
      <w:numFmt w:val="bullet"/>
      <w:lvlText w:val="-"/>
      <w:lvlJc w:val="left"/>
      <w:pPr>
        <w:ind w:left="845" w:hanging="420"/>
      </w:pPr>
      <w:rPr>
        <w:rFonts w:ascii="Courier New" w:hAnsi="Courier New"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648F0"/>
    <w:multiLevelType w:val="hybridMultilevel"/>
    <w:tmpl w:val="B9F2F6E0"/>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A310F"/>
    <w:multiLevelType w:val="hybridMultilevel"/>
    <w:tmpl w:val="9CD6521A"/>
    <w:lvl w:ilvl="0" w:tplc="D036438E">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6BE44A1"/>
    <w:multiLevelType w:val="hybridMultilevel"/>
    <w:tmpl w:val="3BFA5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427516D"/>
    <w:multiLevelType w:val="hybridMultilevel"/>
    <w:tmpl w:val="FFCCF6A2"/>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870FC4"/>
    <w:multiLevelType w:val="hybridMultilevel"/>
    <w:tmpl w:val="1FDA59B2"/>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8A3B2B"/>
    <w:multiLevelType w:val="hybridMultilevel"/>
    <w:tmpl w:val="3C760CE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2"/>
  </w:num>
  <w:num w:numId="3">
    <w:abstractNumId w:val="17"/>
  </w:num>
  <w:num w:numId="4">
    <w:abstractNumId w:val="36"/>
  </w:num>
  <w:num w:numId="5">
    <w:abstractNumId w:val="43"/>
  </w:num>
  <w:num w:numId="6">
    <w:abstractNumId w:val="45"/>
  </w:num>
  <w:num w:numId="7">
    <w:abstractNumId w:val="28"/>
  </w:num>
  <w:num w:numId="8">
    <w:abstractNumId w:val="44"/>
  </w:num>
  <w:num w:numId="9">
    <w:abstractNumId w:val="23"/>
  </w:num>
  <w:num w:numId="10">
    <w:abstractNumId w:val="7"/>
  </w:num>
  <w:num w:numId="11">
    <w:abstractNumId w:val="42"/>
  </w:num>
  <w:num w:numId="12">
    <w:abstractNumId w:val="15"/>
  </w:num>
  <w:num w:numId="13">
    <w:abstractNumId w:val="49"/>
  </w:num>
  <w:num w:numId="14">
    <w:abstractNumId w:val="24"/>
  </w:num>
  <w:num w:numId="15">
    <w:abstractNumId w:val="30"/>
  </w:num>
  <w:num w:numId="16">
    <w:abstractNumId w:val="35"/>
  </w:num>
  <w:num w:numId="17">
    <w:abstractNumId w:val="19"/>
  </w:num>
  <w:num w:numId="18">
    <w:abstractNumId w:val="33"/>
  </w:num>
  <w:num w:numId="19">
    <w:abstractNumId w:val="27"/>
  </w:num>
  <w:num w:numId="20">
    <w:abstractNumId w:val="37"/>
  </w:num>
  <w:num w:numId="21">
    <w:abstractNumId w:val="31"/>
  </w:num>
  <w:num w:numId="22">
    <w:abstractNumId w:val="12"/>
  </w:num>
  <w:num w:numId="23">
    <w:abstractNumId w:val="32"/>
  </w:num>
  <w:num w:numId="24">
    <w:abstractNumId w:val="6"/>
  </w:num>
  <w:num w:numId="25">
    <w:abstractNumId w:val="38"/>
  </w:num>
  <w:num w:numId="26">
    <w:abstractNumId w:val="18"/>
  </w:num>
  <w:num w:numId="27">
    <w:abstractNumId w:val="26"/>
  </w:num>
  <w:num w:numId="28">
    <w:abstractNumId w:val="39"/>
  </w:num>
  <w:num w:numId="29">
    <w:abstractNumId w:val="20"/>
  </w:num>
  <w:num w:numId="30">
    <w:abstractNumId w:val="48"/>
  </w:num>
  <w:num w:numId="31">
    <w:abstractNumId w:val="21"/>
  </w:num>
  <w:num w:numId="32">
    <w:abstractNumId w:val="1"/>
  </w:num>
  <w:num w:numId="33">
    <w:abstractNumId w:val="5"/>
  </w:num>
  <w:num w:numId="34">
    <w:abstractNumId w:val="40"/>
  </w:num>
  <w:num w:numId="35">
    <w:abstractNumId w:val="3"/>
  </w:num>
  <w:num w:numId="36">
    <w:abstractNumId w:val="14"/>
  </w:num>
  <w:num w:numId="37">
    <w:abstractNumId w:val="13"/>
  </w:num>
  <w:num w:numId="38">
    <w:abstractNumId w:val="16"/>
  </w:num>
  <w:num w:numId="39">
    <w:abstractNumId w:val="41"/>
  </w:num>
  <w:num w:numId="40">
    <w:abstractNumId w:val="22"/>
  </w:num>
  <w:num w:numId="41">
    <w:abstractNumId w:val="46"/>
  </w:num>
  <w:num w:numId="42">
    <w:abstractNumId w:val="11"/>
  </w:num>
  <w:num w:numId="43">
    <w:abstractNumId w:val="25"/>
  </w:num>
  <w:num w:numId="44">
    <w:abstractNumId w:val="9"/>
  </w:num>
  <w:num w:numId="45">
    <w:abstractNumId w:val="47"/>
  </w:num>
  <w:num w:numId="46">
    <w:abstractNumId w:val="29"/>
  </w:num>
  <w:num w:numId="47">
    <w:abstractNumId w:val="34"/>
  </w:num>
  <w:num w:numId="48">
    <w:abstractNumId w:val="4"/>
  </w:num>
  <w:num w:numId="4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0"/>
    <w:qFormat/>
    <w:rsid w:val="00A63872"/>
  </w:style>
  <w:style w:type="paragraph" w:customStyle="1" w:styleId="B2">
    <w:name w:val="B2"/>
    <w:basedOn w:val="25"/>
    <w:link w:val="B2Char"/>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link w:val="ab"/>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d">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
    <w:name w:val="Body Text"/>
    <w:aliases w:val="bt"/>
    <w:basedOn w:val="a"/>
    <w:link w:val="af0"/>
    <w:qFormat/>
    <w:pPr>
      <w:spacing w:after="120"/>
      <w:jc w:val="both"/>
    </w:pPr>
    <w:rPr>
      <w:rFonts w:ascii="Times" w:hAnsi="Times"/>
      <w:szCs w:val="24"/>
    </w:rPr>
  </w:style>
  <w:style w:type="paragraph" w:styleId="26">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f1">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link w:val="af7"/>
    <w:rsid w:val="00A10B48"/>
    <w:rPr>
      <w:b/>
      <w:bCs/>
    </w:rPr>
  </w:style>
  <w:style w:type="paragraph" w:styleId="af8">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link w:val="1"/>
    <w:rsid w:val="00184F51"/>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0">
    <w:name w:val="标题 3 字符"/>
    <w:link w:val="3"/>
    <w:rsid w:val="00184F51"/>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b">
    <w:name w:val="Subtitle"/>
    <w:basedOn w:val="a"/>
    <w:next w:val="a"/>
    <w:link w:val="afc"/>
    <w:qFormat/>
    <w:rsid w:val="005D609E"/>
    <w:pPr>
      <w:spacing w:after="60"/>
      <w:jc w:val="center"/>
      <w:outlineLvl w:val="1"/>
    </w:pPr>
    <w:rPr>
      <w:rFonts w:ascii="Cambria" w:hAnsi="Cambria"/>
      <w:sz w:val="24"/>
      <w:szCs w:val="24"/>
    </w:rPr>
  </w:style>
  <w:style w:type="character" w:customStyle="1" w:styleId="afc">
    <w:name w:val="副标题 字符"/>
    <w:link w:val="afb"/>
    <w:rsid w:val="005D609E"/>
    <w:rPr>
      <w:rFonts w:ascii="Cambria" w:eastAsia="Times New Roman" w:hAnsi="Cambria" w:cs="Times New Roman"/>
      <w:sz w:val="24"/>
      <w:szCs w:val="24"/>
      <w:lang w:val="en-GB"/>
    </w:rPr>
  </w:style>
  <w:style w:type="paragraph" w:styleId="afd">
    <w:name w:val="Revision"/>
    <w:hidden/>
    <w:uiPriority w:val="99"/>
    <w:semiHidden/>
    <w:rsid w:val="00F1403E"/>
    <w:rPr>
      <w:rFonts w:ascii="Times New Roman" w:hAnsi="Times New Roman"/>
      <w:lang w:val="en-GB" w:eastAsia="en-US"/>
    </w:rPr>
  </w:style>
  <w:style w:type="paragraph" w:styleId="afe">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5">
    <w:name w:val="批注文字 字符"/>
    <w:link w:val="af4"/>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0">
    <w:name w:val="Hyperlink"/>
    <w:uiPriority w:val="99"/>
    <w:rsid w:val="005A18F9"/>
    <w:rPr>
      <w:color w:val="0000FF"/>
      <w:u w:val="single"/>
    </w:rPr>
  </w:style>
  <w:style w:type="character" w:customStyle="1" w:styleId="af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b">
    <w:name w:val="页脚 字符"/>
    <w:basedOn w:val="a0"/>
    <w:link w:val="aa"/>
    <w:rsid w:val="00CE5F5F"/>
    <w:rPr>
      <w:rFonts w:ascii="Arial" w:hAnsi="Arial"/>
      <w:b/>
      <w:i/>
      <w:noProof/>
      <w:sz w:val="18"/>
      <w:lang w:eastAsia="en-US"/>
    </w:rPr>
  </w:style>
  <w:style w:type="character" w:customStyle="1" w:styleId="ae">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d"/>
    <w:locked/>
    <w:rsid w:val="001C312D"/>
    <w:rPr>
      <w:rFonts w:ascii="Times New Roman" w:hAnsi="Times New Roman"/>
      <w:b/>
      <w:bCs/>
      <w:lang w:eastAsia="en-US"/>
    </w:rPr>
  </w:style>
  <w:style w:type="table" w:styleId="aff1">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2">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461CFE"/>
    <w:rPr>
      <w:rFonts w:ascii="Arial" w:hAnsi="Arial"/>
      <w:b/>
      <w:noProof/>
      <w:sz w:val="18"/>
      <w:lang w:eastAsia="en-US"/>
    </w:rPr>
  </w:style>
  <w:style w:type="character" w:customStyle="1" w:styleId="af7">
    <w:name w:val="批注主题 字符"/>
    <w:basedOn w:val="af5"/>
    <w:link w:val="af6"/>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af0">
    <w:name w:val="正文文本 字符"/>
    <w:aliases w:val="bt 字符"/>
    <w:basedOn w:val="a0"/>
    <w:link w:val="af"/>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f3">
    <w:name w:val="Plain Text"/>
    <w:basedOn w:val="a"/>
    <w:link w:val="aff4"/>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aff4">
    <w:name w:val="纯文本 字符"/>
    <w:basedOn w:val="a0"/>
    <w:link w:val="aff3"/>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f5">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9"/>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afa"/>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f6">
    <w:name w:val="table of figures"/>
    <w:basedOn w:val="af"/>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2\Docs\R1-2006313.zip" TargetMode="External"/><Relationship Id="rId39" Type="http://schemas.openxmlformats.org/officeDocument/2006/relationships/hyperlink" Target="file:///C:\Users\wanshic\OneDrive%20-%20Qualcomm\Documents\Standards\3GPP%20Standards\Meeting%20Documents\TSGR1_102\Docs\R1-2005391.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C:\Users\wanshic\OneDrive%20-%20Qualcomm\Documents\Standards\3GPP%20Standards\Meeting%20Documents\TSGR1_102\Docs\R1-2006548.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5721.zip" TargetMode="Externa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 Id="rId20" Type="http://schemas.openxmlformats.org/officeDocument/2006/relationships/hyperlink" Target="file:///C:\Users\wanshic\OneDrive%20-%20Qualcomm\Documents\Standards\3GPP%20Standards\Meeting%20Documents\TSGR1_102\Docs\R1-2005886.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D96D8E4C-CBD8-4758-91A4-FFD30A9B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8872</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左志松(Jason)</cp:lastModifiedBy>
  <cp:revision>4</cp:revision>
  <cp:lastPrinted>2020-08-13T14:41:00Z</cp:lastPrinted>
  <dcterms:created xsi:type="dcterms:W3CDTF">2020-08-20T05:33:00Z</dcterms:created>
  <dcterms:modified xsi:type="dcterms:W3CDTF">2020-08-20T08:19:00Z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