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lang w:eastAsia="zh-CN"/>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lang w:eastAsia="zh-CN"/>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052785">
            <w:pPr>
              <w:spacing w:after="120"/>
              <w:rPr>
                <w:rFonts w:eastAsiaTheme="minorEastAsia"/>
              </w:rPr>
            </w:pPr>
            <w:r>
              <w:t>Vivo</w:t>
            </w:r>
          </w:p>
        </w:tc>
        <w:tc>
          <w:tcPr>
            <w:tcW w:w="8080" w:type="dxa"/>
          </w:tcPr>
          <w:p w14:paraId="20420216" w14:textId="77777777" w:rsidR="00822DB3" w:rsidRDefault="00822DB3" w:rsidP="00052785">
            <w:pPr>
              <w:spacing w:after="120"/>
            </w:pPr>
            <w:r>
              <w:t>W</w:t>
            </w:r>
            <w:r>
              <w:rPr>
                <w:rFonts w:hint="eastAsia"/>
              </w:rPr>
              <w:t xml:space="preserve">e </w:t>
            </w:r>
            <w:r>
              <w:t>are OK with the priority with the following comments,</w:t>
            </w:r>
          </w:p>
          <w:p w14:paraId="20420217" w14:textId="77777777" w:rsidR="00822DB3" w:rsidRDefault="00822DB3" w:rsidP="00052785">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052785">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052785">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bl>
    <w:p w14:paraId="20420220" w14:textId="77777777" w:rsidR="005722C0"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lastRenderedPageBreak/>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052785">
            <w:pPr>
              <w:spacing w:after="120"/>
              <w:rPr>
                <w:rFonts w:eastAsiaTheme="minorEastAsia"/>
              </w:rPr>
            </w:pPr>
            <w:r>
              <w:t>V</w:t>
            </w:r>
            <w:r>
              <w:rPr>
                <w:rFonts w:hint="eastAsia"/>
              </w:rPr>
              <w:t>ivo</w:t>
            </w:r>
          </w:p>
        </w:tc>
        <w:tc>
          <w:tcPr>
            <w:tcW w:w="8080" w:type="dxa"/>
          </w:tcPr>
          <w:p w14:paraId="20420256" w14:textId="77777777" w:rsidR="00822DB3" w:rsidRPr="000E5D86" w:rsidRDefault="00822DB3" w:rsidP="00052785">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xml:space="preserve">". If TRS/CSI-RS is </w:t>
            </w:r>
            <w:r>
              <w:rPr>
                <w:rFonts w:eastAsia="MS Mincho"/>
                <w:lang w:eastAsia="ja-JP"/>
              </w:rPr>
              <w:lastRenderedPageBreak/>
              <w:t>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lastRenderedPageBreak/>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052785">
            <w:pPr>
              <w:spacing w:after="120"/>
              <w:rPr>
                <w:rFonts w:eastAsiaTheme="minorEastAsia"/>
              </w:rPr>
            </w:pPr>
            <w:r>
              <w:t>V</w:t>
            </w:r>
            <w:r>
              <w:rPr>
                <w:rFonts w:hint="eastAsia"/>
              </w:rPr>
              <w:t>ivo</w:t>
            </w:r>
          </w:p>
        </w:tc>
        <w:tc>
          <w:tcPr>
            <w:tcW w:w="8080" w:type="dxa"/>
          </w:tcPr>
          <w:p w14:paraId="2042028E" w14:textId="77777777" w:rsidR="00822DB3" w:rsidRDefault="00822DB3" w:rsidP="00052785">
            <w:pPr>
              <w:spacing w:after="120"/>
              <w:ind w:firstLineChars="0" w:firstLine="0"/>
            </w:pPr>
            <w:r w:rsidRPr="005933FE">
              <w:t xml:space="preserve">We think the interpretation #2 would be better for UE implementation. For connected UEs,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UEs,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"Up to </w:t>
            </w:r>
            <w:proofErr w:type="spellStart"/>
            <w:r>
              <w:rPr>
                <w:rFonts w:eastAsia="MS Mincho"/>
                <w:lang w:eastAsia="ja-JP"/>
              </w:rPr>
              <w:t>gNB</w:t>
            </w:r>
            <w:proofErr w:type="spellEnd"/>
            <w:r>
              <w:rPr>
                <w:rFonts w:eastAsia="MS Mincho"/>
                <w:lang w:eastAsia="ja-JP"/>
              </w:rPr>
              <w:t xml:space="preserve"> implementation"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he transmission of TRS/CSI-RS is informed to IDLE/CONNECTED mode UEs via SIBs. Therefore, we also have the interpretation #2.</w:t>
            </w:r>
            <w:bookmarkStart w:id="4" w:name="_GoBack"/>
            <w:bookmarkEnd w:id="4"/>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lastRenderedPageBreak/>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w:t>
            </w:r>
            <w:r>
              <w:rPr>
                <w:rFonts w:ascii="Times" w:hAnsi="Times" w:cs="Times"/>
                <w:b/>
                <w:i/>
                <w:lang w:val="en-GB"/>
              </w:rPr>
              <w:lastRenderedPageBreak/>
              <w:t xml:space="preserve">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 xml:space="preserve">Observation 6: It costs more UE energy to detect the invalid RS if the CSI-RS for UE in RRC </w:t>
            </w:r>
            <w:r>
              <w:rPr>
                <w:rFonts w:ascii="Times" w:hAnsi="Times" w:cs="Times"/>
                <w:b/>
                <w:i/>
                <w:lang w:val="en-GB"/>
              </w:rPr>
              <w:lastRenderedPageBreak/>
              <w:t>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contain CSI-RS pattern / </w:t>
            </w:r>
            <w:r>
              <w:rPr>
                <w:rFonts w:ascii="Times" w:hAnsi="Times" w:cs="Times"/>
                <w:b/>
                <w:i/>
                <w:lang w:val="en-GB"/>
              </w:rPr>
              <w:lastRenderedPageBreak/>
              <w:t>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w:t>
            </w:r>
            <w:r>
              <w:rPr>
                <w:rFonts w:ascii="Times" w:hAnsi="Times" w:cs="Times"/>
                <w:b/>
                <w:i/>
                <w:lang w:val="en-GB"/>
              </w:rPr>
              <w:lastRenderedPageBreak/>
              <w:t>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 xml:space="preserve">Proposal 2: The resource location of TRS/CSI-RS can be indicated based on the resource location </w:t>
            </w:r>
            <w:r>
              <w:rPr>
                <w:rFonts w:ascii="Times" w:hAnsi="Times" w:cs="Times"/>
                <w:b/>
                <w:i/>
                <w:lang w:val="en-GB"/>
              </w:rPr>
              <w:lastRenderedPageBreak/>
              <w:t>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5"/>
    </w:p>
    <w:p w14:paraId="20420347" w14:textId="77777777"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0420348" w14:textId="77777777"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20420349" w14:textId="77777777"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2042034A" w14:textId="77777777"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2042034B" w14:textId="77777777"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042034C" w14:textId="77777777"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2042034D" w14:textId="77777777"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2042034E" w14:textId="77777777"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2042034F" w14:textId="77777777"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lastRenderedPageBreak/>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14:paraId="20420350" w14:textId="77777777"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20420351" w14:textId="77777777"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14:paraId="20420352" w14:textId="77777777"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20420353" w14:textId="77777777"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14:paraId="20420354" w14:textId="77777777"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20420355" w14:textId="77777777"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20420356" w14:textId="77777777"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20420357" w14:textId="77777777"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A1BF" w14:textId="77777777" w:rsidR="002E26B2" w:rsidRDefault="002E26B2">
      <w:pPr>
        <w:spacing w:before="0" w:after="0" w:line="240" w:lineRule="auto"/>
      </w:pPr>
      <w:r>
        <w:separator/>
      </w:r>
    </w:p>
  </w:endnote>
  <w:endnote w:type="continuationSeparator" w:id="0">
    <w:p w14:paraId="76620722" w14:textId="77777777" w:rsidR="002E26B2" w:rsidRDefault="002E2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77777777" w:rsidR="005722C0" w:rsidRDefault="005B2DC0">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437A06">
      <w:rPr>
        <w:rStyle w:val="PageNumber"/>
        <w:i/>
        <w:noProof/>
        <w:color w:val="auto"/>
      </w:rPr>
      <w:t>13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1AC88" w14:textId="77777777" w:rsidR="002E26B2" w:rsidRDefault="002E26B2">
      <w:pPr>
        <w:spacing w:before="0" w:after="0" w:line="240" w:lineRule="auto"/>
      </w:pPr>
      <w:r>
        <w:separator/>
      </w:r>
    </w:p>
  </w:footnote>
  <w:footnote w:type="continuationSeparator" w:id="0">
    <w:p w14:paraId="49E08170" w14:textId="77777777" w:rsidR="002E26B2" w:rsidRDefault="002E26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5722C0" w:rsidRDefault="005B2DC0">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0A65EC1-9D0E-4B3A-A096-5C53C658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5634</Words>
  <Characters>32115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Li, Hongchao</cp:lastModifiedBy>
  <cp:revision>7</cp:revision>
  <dcterms:created xsi:type="dcterms:W3CDTF">2020-08-20T11:37:00Z</dcterms:created>
  <dcterms:modified xsi:type="dcterms:W3CDTF">2020-08-20T11:42:00Z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