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9AF9" w14:textId="33FE6460" w:rsidR="00FD22E0" w:rsidRPr="0052548E" w:rsidRDefault="00EE0C31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842943"/>
      <w:r>
        <w:rPr>
          <w:rFonts w:ascii="Arial" w:hAnsi="Arial" w:cs="Arial"/>
          <w:b/>
          <w:bCs/>
          <w:sz w:val="28"/>
        </w:rPr>
        <w:t>3GPP TSG RAN WG1 #102-e</w:t>
      </w:r>
      <w:r w:rsidR="00C738CD">
        <w:rPr>
          <w:rFonts w:ascii="Arial" w:hAnsi="Arial" w:cs="Arial"/>
          <w:b/>
          <w:bCs/>
          <w:sz w:val="28"/>
        </w:rPr>
        <w:tab/>
      </w:r>
      <w:r w:rsidR="00C738CD"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</w:rPr>
        <w:t>200</w:t>
      </w:r>
      <w:r w:rsidR="00F9033B">
        <w:rPr>
          <w:rFonts w:ascii="Arial" w:hAnsi="Arial" w:cs="Arial"/>
          <w:b/>
          <w:bCs/>
          <w:sz w:val="28"/>
        </w:rPr>
        <w:t>xxxx</w:t>
      </w:r>
    </w:p>
    <w:p w14:paraId="605383BB" w14:textId="47B91480" w:rsidR="00F9033B" w:rsidRPr="00F9033B" w:rsidRDefault="00EE0C31" w:rsidP="00F9033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Aug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1</w:t>
      </w:r>
      <w:r>
        <w:rPr>
          <w:rFonts w:ascii="Arial" w:eastAsia="MS Mincho" w:hAnsi="Arial" w:cs="Arial"/>
          <w:b/>
          <w:bCs/>
          <w:sz w:val="28"/>
          <w:lang w:eastAsia="ja-JP"/>
        </w:rPr>
        <w:t>7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MS Mincho" w:hAnsi="Arial" w:cs="Arial"/>
          <w:b/>
          <w:bCs/>
          <w:sz w:val="28"/>
          <w:lang w:eastAsia="ja-JP"/>
        </w:rPr>
        <w:t>8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>, 20</w:t>
      </w:r>
      <w:r>
        <w:rPr>
          <w:rFonts w:ascii="Arial" w:eastAsia="MS Mincho" w:hAnsi="Arial" w:cs="Arial"/>
          <w:b/>
          <w:bCs/>
          <w:sz w:val="28"/>
          <w:lang w:eastAsia="ja-JP"/>
        </w:rPr>
        <w:t>20</w:t>
      </w:r>
    </w:p>
    <w:p w14:paraId="5D9C1DEB" w14:textId="77777777" w:rsidR="00FD22E0" w:rsidRPr="00A44DC8" w:rsidRDefault="00FD22E0" w:rsidP="00FD22E0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bookmarkEnd w:id="0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24CD3E58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738CD">
        <w:rPr>
          <w:rFonts w:ascii="Arial" w:hAnsi="Arial" w:cs="Arial"/>
          <w:b/>
        </w:rPr>
        <w:t xml:space="preserve">[draft] </w:t>
      </w:r>
      <w:r w:rsidR="00F9033B">
        <w:rPr>
          <w:rFonts w:ascii="Arial" w:hAnsi="Arial" w:cs="Arial"/>
        </w:rPr>
        <w:t xml:space="preserve">LS on </w:t>
      </w:r>
      <w:r w:rsidR="00EE0C31">
        <w:rPr>
          <w:rFonts w:ascii="Arial" w:hAnsi="Arial" w:cs="Arial"/>
        </w:rPr>
        <w:t>evaluation methodology for UE power saving enhancements</w:t>
      </w:r>
    </w:p>
    <w:p w14:paraId="55C6DC56" w14:textId="70DD6F83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34DB029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E0C31">
        <w:rPr>
          <w:rFonts w:ascii="Arial" w:hAnsi="Arial" w:cs="Arial"/>
          <w:bCs/>
        </w:rPr>
        <w:t>7</w:t>
      </w:r>
    </w:p>
    <w:p w14:paraId="16E626B0" w14:textId="63F948D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E0C31" w:rsidRPr="00EE0C31">
        <w:rPr>
          <w:rFonts w:ascii="Arial" w:hAnsi="Arial" w:cs="Arial"/>
          <w:bCs/>
          <w:lang w:eastAsia="ja-JP"/>
        </w:rPr>
        <w:t>NR_UE_pow_sav_enh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72F3BA24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C738CD">
        <w:rPr>
          <w:rFonts w:ascii="Arial" w:hAnsi="Arial" w:cs="Arial"/>
          <w:bCs/>
        </w:rPr>
        <w:t>MediaTek, RAN1</w:t>
      </w:r>
    </w:p>
    <w:p w14:paraId="1E7B3866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C738CD">
        <w:rPr>
          <w:rFonts w:ascii="Arial" w:hAnsi="Arial" w:cs="Arial"/>
          <w:bCs/>
        </w:rPr>
        <w:t>2</w:t>
      </w:r>
    </w:p>
    <w:p w14:paraId="782F5A72" w14:textId="43B3933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RAN4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4C1F6B39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F9033B">
        <w:rPr>
          <w:rFonts w:eastAsiaTheme="minorEastAsia" w:cs="Arial"/>
          <w:b/>
        </w:rPr>
        <w:t>Wei</w:t>
      </w:r>
      <w:r w:rsidR="00F85AB7">
        <w:rPr>
          <w:rFonts w:eastAsiaTheme="minorEastAsia" w:cs="Arial"/>
          <w:b/>
        </w:rPr>
        <w:t>-D</w:t>
      </w:r>
      <w:r w:rsidR="00F9033B">
        <w:rPr>
          <w:rFonts w:eastAsiaTheme="minorEastAsia" w:cs="Arial"/>
          <w:b/>
        </w:rPr>
        <w:t>e Wu</w:t>
      </w:r>
    </w:p>
    <w:p w14:paraId="58E3E9C5" w14:textId="0402B9E0" w:rsidR="00765435" w:rsidRPr="00BF023F" w:rsidRDefault="00F9033B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val="fr-FR" w:eastAsia="ko-KR"/>
        </w:rPr>
      </w:pPr>
      <w:r>
        <w:rPr>
          <w:rFonts w:cs="Arial"/>
          <w:b/>
          <w:lang w:val="fr-FR"/>
        </w:rPr>
        <w:t>E-mail Add</w:t>
      </w:r>
      <w:r w:rsidR="00765435" w:rsidRPr="00765435">
        <w:rPr>
          <w:rFonts w:cs="Arial"/>
          <w:b/>
          <w:lang w:val="fr-FR"/>
        </w:rPr>
        <w:t>ress:</w:t>
      </w:r>
      <w:r w:rsidR="00765435" w:rsidRPr="00BF023F">
        <w:rPr>
          <w:rFonts w:cs="Arial"/>
          <w:bCs/>
          <w:lang w:val="fr-FR"/>
        </w:rPr>
        <w:tab/>
      </w:r>
      <w:r>
        <w:rPr>
          <w:rFonts w:cs="Arial"/>
          <w:bCs/>
          <w:lang w:val="fr-FR"/>
        </w:rPr>
        <w:t>Weide.Wu</w:t>
      </w:r>
      <w:r w:rsidR="00765435" w:rsidRPr="00765435">
        <w:rPr>
          <w:rFonts w:cs="Arial"/>
          <w:bCs/>
          <w:lang w:val="fr-FR"/>
        </w:rPr>
        <w:t>@mediatek.com</w:t>
      </w: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765435" w:rsidRDefault="00765435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4C662906" w14:textId="69C02098" w:rsidR="00EE0C31" w:rsidRDefault="00010D84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RAN1#102-e</w:t>
      </w:r>
      <w:r w:rsidR="00EE0C31">
        <w:rPr>
          <w:rFonts w:ascii="Arial" w:hAnsi="Arial" w:cs="Arial"/>
        </w:rPr>
        <w:t xml:space="preserve">, RAN1 </w:t>
      </w:r>
      <w:r>
        <w:rPr>
          <w:rFonts w:ascii="Arial" w:hAnsi="Arial" w:cs="Arial"/>
        </w:rPr>
        <w:t>updates</w:t>
      </w:r>
      <w:r w:rsidR="00EE0C31">
        <w:rPr>
          <w:rFonts w:ascii="Arial" w:hAnsi="Arial" w:cs="Arial"/>
        </w:rPr>
        <w:t xml:space="preserve"> the evaluation methodology </w:t>
      </w:r>
      <w:r>
        <w:rPr>
          <w:rFonts w:ascii="Arial" w:hAnsi="Arial" w:cs="Arial"/>
        </w:rPr>
        <w:t xml:space="preserve">related to </w:t>
      </w:r>
      <w:r w:rsidR="00EE0C31">
        <w:rPr>
          <w:rFonts w:ascii="Arial" w:hAnsi="Arial" w:cs="Arial"/>
        </w:rPr>
        <w:t xml:space="preserve">paging enhancement(s) </w:t>
      </w:r>
      <w:r>
        <w:rPr>
          <w:rFonts w:ascii="Arial" w:hAnsi="Arial" w:cs="Arial"/>
        </w:rPr>
        <w:t>for Rel-17 UE power saving enhancements</w:t>
      </w:r>
      <w:r w:rsidR="00EE0C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E0C31">
        <w:rPr>
          <w:rFonts w:ascii="Arial" w:hAnsi="Arial" w:cs="Arial"/>
        </w:rPr>
        <w:t>RAN1 would like to inform RAN2 the following related agreements:</w:t>
      </w:r>
    </w:p>
    <w:p w14:paraId="1A1EE98F" w14:textId="77777777" w:rsidR="00EE0C31" w:rsidRPr="00EE0C31" w:rsidRDefault="00EE0C31" w:rsidP="00EE0C31">
      <w:pPr>
        <w:jc w:val="both"/>
        <w:rPr>
          <w:rFonts w:ascii="Arial" w:hAnsi="Arial" w:cs="Arial"/>
        </w:rPr>
      </w:pPr>
    </w:p>
    <w:p w14:paraId="6800C9E6" w14:textId="77777777" w:rsidR="00EE0C31" w:rsidRPr="00EE0C31" w:rsidRDefault="00EE0C31" w:rsidP="00EE0C31">
      <w:pPr>
        <w:rPr>
          <w:highlight w:val="green"/>
          <w:lang w:eastAsia="ko-KR"/>
        </w:rPr>
      </w:pPr>
      <w:r w:rsidRPr="00EE0C31">
        <w:rPr>
          <w:highlight w:val="green"/>
        </w:rPr>
        <w:t>Agreements:</w:t>
      </w:r>
    </w:p>
    <w:p w14:paraId="014E7678" w14:textId="77777777" w:rsidR="00EE0C31" w:rsidRPr="00EE0C31" w:rsidRDefault="00EE0C31" w:rsidP="00EE0C31">
      <w:r w:rsidRPr="00EE0C31">
        <w:t>For study of Rel-17 paging enhancement, the following are assumed as a baseline for FR1 and FR2:</w:t>
      </w:r>
    </w:p>
    <w:p w14:paraId="3A237B03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Reference configuration for FR1/FR2 as specified in Section 8.1.1/8.1.2 of TR 38.840</w:t>
      </w:r>
    </w:p>
    <w:p w14:paraId="7E32FC60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Note: the setting for some PDSCH parameters may not be applicable for RedCap UEs</w:t>
      </w:r>
    </w:p>
    <w:p w14:paraId="0508F5D3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 xml:space="preserve">Baseline paging cycle length: [1.28] second </w:t>
      </w:r>
    </w:p>
    <w:p w14:paraId="43CB5860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SS burst related assumptions:</w:t>
      </w:r>
    </w:p>
    <w:p w14:paraId="6B0A219B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20 ms periodicity</w:t>
      </w:r>
    </w:p>
    <w:p w14:paraId="7EB82320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 ms duration for serving cell RRM measurement, which can overlap with the one for synchronization before PO</w:t>
      </w:r>
    </w:p>
    <w:p w14:paraId="79289183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FFS time/frequency tracking</w:t>
      </w:r>
    </w:p>
    <w:p w14:paraId="2463376B" w14:textId="77777777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Measurement related assumptions:</w:t>
      </w:r>
    </w:p>
    <w:p w14:paraId="0D51BBD9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20 ms SMTC periodicity</w:t>
      </w:r>
    </w:p>
    <w:p w14:paraId="13A01B3F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2 ms SMTC window for intra-frequency RRM measurement, assuming synchronized deployment</w:t>
      </w:r>
    </w:p>
    <w:p w14:paraId="00420832" w14:textId="77777777" w:rsidR="00EE0C31" w:rsidRPr="00EE0C31" w:rsidRDefault="00EE0C31" w:rsidP="00EE0C31">
      <w:pPr>
        <w:pStyle w:val="ListParagraph"/>
        <w:numPr>
          <w:ilvl w:val="1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[5 ms SMTC window and 6 ms measurement gap for inter-frequency RRM measurement]</w:t>
      </w:r>
    </w:p>
    <w:p w14:paraId="00412482" w14:textId="77777777" w:rsidR="00EE0C31" w:rsidRPr="00EE0C31" w:rsidRDefault="00EE0C31" w:rsidP="00EE0C31">
      <w:pPr>
        <w:pStyle w:val="ListParagraph"/>
        <w:numPr>
          <w:ilvl w:val="2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Note: RAN4 requirement assumes one frequency layer per measurement gap, and 0.5 ms is assumed for switch in/out a frequency layer</w:t>
      </w:r>
    </w:p>
    <w:p w14:paraId="67D78F7E" w14:textId="7A787BEA" w:rsidR="00EE0C31" w:rsidRPr="00EE0C31" w:rsidRDefault="00EE0C31" w:rsidP="00EE0C31">
      <w:pPr>
        <w:pStyle w:val="ListParagraph"/>
        <w:numPr>
          <w:ilvl w:val="0"/>
          <w:numId w:val="23"/>
        </w:numPr>
        <w:contextualSpacing w:val="0"/>
        <w:rPr>
          <w:rFonts w:ascii="Times New Roman" w:eastAsia="Gulim" w:hAnsi="Times New Roman" w:cs="Times New Roman"/>
          <w:sz w:val="20"/>
          <w:szCs w:val="20"/>
        </w:rPr>
      </w:pPr>
      <w:r w:rsidRPr="00EE0C31">
        <w:rPr>
          <w:rFonts w:ascii="Times New Roman" w:eastAsia="Gulim" w:hAnsi="Times New Roman" w:cs="Times New Roman"/>
          <w:sz w:val="20"/>
          <w:szCs w:val="20"/>
        </w:rPr>
        <w:t>Note: the inclusion of potential TRS/CSI-RS occasions can be considered</w:t>
      </w:r>
    </w:p>
    <w:p w14:paraId="7B36BAE3" w14:textId="77777777" w:rsidR="00EE0C31" w:rsidRDefault="00EE0C31" w:rsidP="00EE0C31">
      <w:pPr>
        <w:rPr>
          <w:highlight w:val="green"/>
          <w:shd w:val="clear" w:color="auto" w:fill="FFFF00"/>
        </w:rPr>
      </w:pPr>
    </w:p>
    <w:p w14:paraId="0AAF633B" w14:textId="77777777" w:rsidR="00010D84" w:rsidRDefault="00010D84" w:rsidP="00EE0C31">
      <w:pPr>
        <w:rPr>
          <w:highlight w:val="green"/>
          <w:shd w:val="clear" w:color="auto" w:fill="FFFF00"/>
        </w:rPr>
      </w:pPr>
    </w:p>
    <w:p w14:paraId="7FF8D056" w14:textId="77777777" w:rsidR="00EE0C31" w:rsidRPr="00EE0C31" w:rsidRDefault="00EE0C31" w:rsidP="00EE0C31">
      <w:pPr>
        <w:rPr>
          <w:highlight w:val="green"/>
          <w:lang w:eastAsia="ko-KR"/>
        </w:rPr>
      </w:pPr>
      <w:r w:rsidRPr="00EE0C31">
        <w:rPr>
          <w:highlight w:val="green"/>
          <w:shd w:val="clear" w:color="auto" w:fill="FFFF00"/>
        </w:rPr>
        <w:t>Agreements:</w:t>
      </w:r>
    </w:p>
    <w:p w14:paraId="075D6FDA" w14:textId="77777777" w:rsidR="00EE0C31" w:rsidRPr="00EE0C31" w:rsidRDefault="00EE0C31" w:rsidP="00EE0C31">
      <w:r w:rsidRPr="00EE0C31">
        <w:t>The following power consumption model for FR1 is utilized for the evaluations of Rel-17 UE power saving enhancements in idle/inactive mode</w:t>
      </w:r>
    </w:p>
    <w:p w14:paraId="2698B45F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FFS: FR2 power consumption model for idle/inactive mode operations</w:t>
      </w:r>
    </w:p>
    <w:tbl>
      <w:tblPr>
        <w:tblW w:w="77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886"/>
        <w:gridCol w:w="2887"/>
      </w:tblGrid>
      <w:tr w:rsidR="00EE0C31" w:rsidRPr="00EE0C31" w14:paraId="587C29DF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6080" w14:textId="77777777" w:rsidR="00EE0C31" w:rsidRPr="00EE0C31" w:rsidRDefault="00EE0C31" w:rsidP="00EE0C31">
            <w:pPr>
              <w:spacing w:before="100" w:beforeAutospacing="1" w:after="100" w:afterAutospacing="1" w:line="231" w:lineRule="atLeast"/>
              <w:ind w:left="360"/>
              <w:rPr>
                <w:lang w:eastAsia="zh-CN"/>
              </w:rPr>
            </w:pPr>
            <w:r w:rsidRPr="00EE0C31">
              <w:lastRenderedPageBreak/>
              <w:t>Power State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ECFC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Relative Power</w:t>
            </w:r>
          </w:p>
          <w:p w14:paraId="59765B42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(FR1 reference from TR 84.840)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D968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Relative Power</w:t>
            </w:r>
            <w:r w:rsidRPr="00EE0C31">
              <w:rPr>
                <w:rStyle w:val="apple-converted-space"/>
              </w:rPr>
              <w:t> </w:t>
            </w:r>
            <w:r w:rsidRPr="00EE0C31">
              <w:br/>
              <w:t>(Idle/inactive-mode operation with reception bandwidth 20 MHz)</w:t>
            </w:r>
          </w:p>
        </w:tc>
      </w:tr>
      <w:tr w:rsidR="00EE0C31" w:rsidRPr="00EE0C31" w14:paraId="6A77F6C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279B" w14:textId="77777777" w:rsidR="00EE0C31" w:rsidRPr="00EE0C31" w:rsidRDefault="00EE0C31" w:rsidP="004B3872">
            <w:pPr>
              <w:spacing w:line="231" w:lineRule="atLeast"/>
            </w:pPr>
            <w:r w:rsidRPr="00EE0C31">
              <w:t>Deep Sleep (P</w:t>
            </w:r>
            <w:r w:rsidRPr="00EE0C31">
              <w:rPr>
                <w:vertAlign w:val="subscript"/>
              </w:rPr>
              <w:t>DS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25C0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F252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</w:t>
            </w:r>
          </w:p>
        </w:tc>
      </w:tr>
      <w:tr w:rsidR="00EE0C31" w:rsidRPr="00EE0C31" w14:paraId="10D29EAC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F29B" w14:textId="77777777" w:rsidR="00EE0C31" w:rsidRPr="00EE0C31" w:rsidRDefault="00EE0C31" w:rsidP="004B3872">
            <w:pPr>
              <w:spacing w:line="231" w:lineRule="atLeast"/>
            </w:pPr>
            <w:r w:rsidRPr="00EE0C31">
              <w:t>Light Sleep (P</w:t>
            </w:r>
            <w:r w:rsidRPr="00EE0C31">
              <w:rPr>
                <w:vertAlign w:val="subscript"/>
              </w:rPr>
              <w:t>LS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F4A1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B9E7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20</w:t>
            </w:r>
          </w:p>
        </w:tc>
      </w:tr>
      <w:tr w:rsidR="00EE0C31" w:rsidRPr="00EE0C31" w14:paraId="6AFA1D94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F875" w14:textId="77777777" w:rsidR="00EE0C31" w:rsidRPr="00EE0C31" w:rsidRDefault="00EE0C31" w:rsidP="004B3872">
            <w:pPr>
              <w:spacing w:line="231" w:lineRule="atLeast"/>
            </w:pPr>
            <w:r w:rsidRPr="00EE0C31">
              <w:t>Micro sleep (P</w:t>
            </w:r>
            <w:r w:rsidRPr="00EE0C31">
              <w:rPr>
                <w:vertAlign w:val="subscript"/>
              </w:rPr>
              <w:t>MS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A7C0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4558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45</w:t>
            </w:r>
          </w:p>
        </w:tc>
      </w:tr>
      <w:tr w:rsidR="00EE0C31" w:rsidRPr="00EE0C31" w14:paraId="24330564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A417" w14:textId="77777777" w:rsidR="00EE0C31" w:rsidRPr="00EE0C31" w:rsidRDefault="00EE0C31" w:rsidP="004B3872">
            <w:pPr>
              <w:spacing w:line="231" w:lineRule="atLeast"/>
            </w:pPr>
            <w:r w:rsidRPr="00EE0C31">
              <w:t>PDCCH-only (P</w:t>
            </w:r>
            <w:r w:rsidRPr="00EE0C31">
              <w:rPr>
                <w:vertAlign w:val="subscript"/>
              </w:rPr>
              <w:t>PDCCH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BA6D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F105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50</w:t>
            </w:r>
            <w:r w:rsidRPr="00EE0C31">
              <w:rPr>
                <w:vertAlign w:val="superscript"/>
              </w:rPr>
              <w:t>Note</w:t>
            </w:r>
          </w:p>
        </w:tc>
      </w:tr>
      <w:tr w:rsidR="00EE0C31" w:rsidRPr="00EE0C31" w14:paraId="2CAEEE0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861F" w14:textId="77777777" w:rsidR="00EE0C31" w:rsidRPr="00EE0C31" w:rsidRDefault="00EE0C31" w:rsidP="004B3872">
            <w:pPr>
              <w:spacing w:line="231" w:lineRule="atLeast"/>
            </w:pPr>
            <w:r w:rsidRPr="00EE0C31">
              <w:t>PDCCH + PDSCH (P</w:t>
            </w:r>
            <w:r w:rsidRPr="00EE0C31">
              <w:rPr>
                <w:vertAlign w:val="subscript"/>
              </w:rPr>
              <w:t>PDCCH+PDSCH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4753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22DB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120</w:t>
            </w:r>
          </w:p>
        </w:tc>
      </w:tr>
      <w:tr w:rsidR="00EE0C31" w:rsidRPr="00EE0C31" w14:paraId="621D45D8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1413" w14:textId="77777777" w:rsidR="00EE0C31" w:rsidRPr="00EE0C31" w:rsidRDefault="00EE0C31" w:rsidP="004B3872">
            <w:pPr>
              <w:spacing w:line="231" w:lineRule="atLeast"/>
            </w:pPr>
            <w:r w:rsidRPr="00EE0C31">
              <w:t>PDSCH-only (P</w:t>
            </w:r>
            <w:r w:rsidRPr="00EE0C31">
              <w:rPr>
                <w:vertAlign w:val="subscript"/>
              </w:rPr>
              <w:t>PDSCH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0A13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280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4755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112</w:t>
            </w:r>
          </w:p>
        </w:tc>
      </w:tr>
      <w:tr w:rsidR="00EE0C31" w:rsidRPr="00EE0C31" w14:paraId="3DE928A7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51A1" w14:textId="77777777" w:rsidR="00EE0C31" w:rsidRPr="00EE0C31" w:rsidRDefault="00EE0C31" w:rsidP="004B3872">
            <w:pPr>
              <w:spacing w:line="231" w:lineRule="atLeast"/>
            </w:pPr>
            <w:r w:rsidRPr="00EE0C31">
              <w:t>SSB/CSI-RS proc. (P</w:t>
            </w:r>
            <w:r w:rsidRPr="00EE0C31">
              <w:rPr>
                <w:vertAlign w:val="subscript"/>
              </w:rPr>
              <w:t>SSB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3F04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100 (synchronization or serving cell measurement)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58C5" w14:textId="77777777" w:rsidR="00EE0C31" w:rsidRPr="00EE0C31" w:rsidRDefault="00EE0C31" w:rsidP="004B3872">
            <w:pPr>
              <w:spacing w:line="231" w:lineRule="atLeast"/>
              <w:jc w:val="center"/>
            </w:pPr>
            <w:r w:rsidRPr="00EE0C31">
              <w:t>50</w:t>
            </w:r>
          </w:p>
        </w:tc>
      </w:tr>
      <w:tr w:rsidR="00EE0C31" w:rsidRPr="00EE0C31" w14:paraId="1514B10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5327" w14:textId="77777777" w:rsidR="00EE0C31" w:rsidRPr="00EE0C31" w:rsidRDefault="00EE0C31" w:rsidP="004B3872">
            <w:pPr>
              <w:spacing w:line="231" w:lineRule="atLeast"/>
            </w:pPr>
            <w:r w:rsidRPr="00EE0C31">
              <w:t>Intra-frequency RRM measurement (P</w:t>
            </w:r>
            <w:r w:rsidRPr="00EE0C31">
              <w:rPr>
                <w:vertAlign w:val="subscript"/>
              </w:rPr>
              <w:t>intra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D9C2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150 (synchronous case, N=8, measurement only; P</w:t>
            </w:r>
            <w:r w:rsidRPr="00EE0C31">
              <w:rPr>
                <w:vertAlign w:val="subscript"/>
              </w:rPr>
              <w:t>intra, meas-only</w:t>
            </w:r>
            <w:r w:rsidRPr="00EE0C31">
              <w:t>)</w:t>
            </w:r>
          </w:p>
          <w:p w14:paraId="38B9B21B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200 (combined search and measurement; P</w:t>
            </w:r>
            <w:r w:rsidRPr="00EE0C31">
              <w:rPr>
                <w:vertAlign w:val="subscript"/>
              </w:rPr>
              <w:t>intra, search+meas</w:t>
            </w:r>
            <w:r w:rsidRPr="00EE0C31">
              <w:t>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8C5A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[60]</w:t>
            </w:r>
            <w:r w:rsidRPr="00EE0C31">
              <w:t xml:space="preserve"> (synchronous case, N=8, measurement only; P</w:t>
            </w:r>
            <w:r w:rsidRPr="00EE0C31">
              <w:rPr>
                <w:vertAlign w:val="subscript"/>
              </w:rPr>
              <w:t>intra, meas-only</w:t>
            </w:r>
            <w:r w:rsidRPr="00EE0C31">
              <w:t>)</w:t>
            </w:r>
          </w:p>
          <w:p w14:paraId="61FF2AAA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[80]</w:t>
            </w:r>
            <w:r w:rsidRPr="00EE0C31">
              <w:t xml:space="preserve"> (combined search and measurement; P</w:t>
            </w:r>
            <w:r w:rsidRPr="00EE0C31">
              <w:rPr>
                <w:vertAlign w:val="subscript"/>
              </w:rPr>
              <w:t>intra, search+meas</w:t>
            </w:r>
            <w:r w:rsidRPr="00EE0C31">
              <w:t>)</w:t>
            </w:r>
          </w:p>
        </w:tc>
      </w:tr>
      <w:tr w:rsidR="00EE0C31" w:rsidRPr="00EE0C31" w14:paraId="6C377BA6" w14:textId="77777777" w:rsidTr="00EE0C31">
        <w:trPr>
          <w:trHeight w:val="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F0EB" w14:textId="77777777" w:rsidR="00EE0C31" w:rsidRPr="00EE0C31" w:rsidRDefault="00EE0C31" w:rsidP="004B3872">
            <w:pPr>
              <w:spacing w:line="231" w:lineRule="atLeast"/>
            </w:pPr>
            <w:r w:rsidRPr="00EE0C31">
              <w:t>Inter-frequency RRM measurement (P</w:t>
            </w:r>
            <w:r w:rsidRPr="00EE0C31">
              <w:rPr>
                <w:vertAlign w:val="subscript"/>
              </w:rPr>
              <w:t>inter</w:t>
            </w:r>
            <w:r w:rsidRPr="00EE0C31"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5AFC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150 (measurement only per freq. layer; P</w:t>
            </w:r>
            <w:r w:rsidRPr="00EE0C31">
              <w:rPr>
                <w:vertAlign w:val="subscript"/>
              </w:rPr>
              <w:t>inter, meas-only</w:t>
            </w:r>
            <w:r w:rsidRPr="00EE0C31">
              <w:t>)</w:t>
            </w:r>
          </w:p>
          <w:p w14:paraId="04A959CE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150 (neighbor cell search power per freq. layer; P</w:t>
            </w:r>
            <w:r w:rsidRPr="00EE0C31">
              <w:rPr>
                <w:vertAlign w:val="subscript"/>
              </w:rPr>
              <w:t>inter, search-only</w:t>
            </w:r>
            <w:r w:rsidRPr="00EE0C31">
              <w:t>)</w:t>
            </w:r>
          </w:p>
          <w:p w14:paraId="6FE6E8A8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Micro sleep power assumed for switch in/out a freq. layer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7769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[60]</w:t>
            </w:r>
            <w:r w:rsidRPr="00EE0C31">
              <w:t xml:space="preserve"> (measurement only per freq. layer; P</w:t>
            </w:r>
            <w:r w:rsidRPr="00EE0C31">
              <w:rPr>
                <w:vertAlign w:val="subscript"/>
              </w:rPr>
              <w:t>inter, meas-only</w:t>
            </w:r>
            <w:r w:rsidRPr="00EE0C31">
              <w:t>)</w:t>
            </w:r>
          </w:p>
          <w:p w14:paraId="1089ACB9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[150]</w:t>
            </w:r>
            <w:r w:rsidRPr="00EE0C31">
              <w:t xml:space="preserve"> (neighbor cell search power per freq. layer; P</w:t>
            </w:r>
            <w:r w:rsidRPr="00EE0C31">
              <w:rPr>
                <w:vertAlign w:val="subscript"/>
              </w:rPr>
              <w:t>inter, search-only</w:t>
            </w:r>
            <w:r w:rsidRPr="00EE0C31">
              <w:t>)</w:t>
            </w:r>
          </w:p>
          <w:p w14:paraId="0CB3E3D1" w14:textId="77777777" w:rsidR="00EE0C31" w:rsidRPr="00EE0C31" w:rsidRDefault="00EE0C31" w:rsidP="004B3872">
            <w:pPr>
              <w:spacing w:line="231" w:lineRule="atLeast"/>
              <w:ind w:hanging="360"/>
            </w:pPr>
            <w:r w:rsidRPr="00EE0C31">
              <w:t>·       </w:t>
            </w:r>
            <w:r w:rsidRPr="00EE0C31">
              <w:rPr>
                <w:rStyle w:val="apple-converted-space"/>
              </w:rPr>
              <w:t> </w:t>
            </w:r>
            <w:r w:rsidRPr="00EE0C31">
              <w:t>Micro sleep power assumed for switch in/out a freq. layer</w:t>
            </w:r>
          </w:p>
        </w:tc>
      </w:tr>
      <w:tr w:rsidR="00EE0C31" w:rsidRPr="00EE0C31" w14:paraId="495621D7" w14:textId="77777777" w:rsidTr="00EE0C31">
        <w:trPr>
          <w:trHeight w:val="17"/>
          <w:jc w:val="center"/>
        </w:trPr>
        <w:tc>
          <w:tcPr>
            <w:tcW w:w="7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8E63" w14:textId="77777777" w:rsidR="00EE0C31" w:rsidRPr="00EE0C31" w:rsidRDefault="00EE0C31" w:rsidP="004B3872">
            <w:pPr>
              <w:spacing w:line="231" w:lineRule="atLeast"/>
            </w:pPr>
            <w:r w:rsidRPr="00EE0C31">
              <w:t>Note: Power scaling to 20MHz reception bandwidth follows the rule in Section 8.1.3 of TR 38.840, i.e., max{reference power * 0.4, 50}.</w:t>
            </w:r>
          </w:p>
        </w:tc>
      </w:tr>
    </w:tbl>
    <w:p w14:paraId="085CFF97" w14:textId="77777777" w:rsidR="00EE0C31" w:rsidRDefault="00EE0C31" w:rsidP="00EE0C31">
      <w:pPr>
        <w:rPr>
          <w:lang w:eastAsia="zh-TW"/>
        </w:rPr>
      </w:pPr>
    </w:p>
    <w:p w14:paraId="057E7327" w14:textId="77777777" w:rsidR="00010D84" w:rsidRPr="00EE0C31" w:rsidRDefault="00010D84" w:rsidP="00EE0C31">
      <w:pPr>
        <w:rPr>
          <w:lang w:eastAsia="zh-TW"/>
        </w:rPr>
      </w:pPr>
    </w:p>
    <w:p w14:paraId="77EB63D7" w14:textId="77777777" w:rsidR="00EE0C31" w:rsidRDefault="00EE0C31" w:rsidP="00EE0C31">
      <w:pPr>
        <w:rPr>
          <w:highlight w:val="green"/>
          <w:shd w:val="clear" w:color="auto" w:fill="FFFF00"/>
        </w:rPr>
      </w:pPr>
    </w:p>
    <w:p w14:paraId="72C5E618" w14:textId="77777777" w:rsidR="00EE0C31" w:rsidRPr="00EE0C31" w:rsidRDefault="00EE0C31" w:rsidP="00EE0C31">
      <w:pPr>
        <w:rPr>
          <w:highlight w:val="green"/>
          <w:lang w:eastAsia="ko-KR"/>
        </w:rPr>
      </w:pPr>
      <w:r w:rsidRPr="00EE0C31">
        <w:rPr>
          <w:highlight w:val="green"/>
          <w:shd w:val="clear" w:color="auto" w:fill="FFFF00"/>
        </w:rPr>
        <w:t>Agreements:</w:t>
      </w:r>
    </w:p>
    <w:p w14:paraId="2D19274C" w14:textId="77777777" w:rsidR="00EE0C31" w:rsidRPr="00EE0C31" w:rsidRDefault="00EE0C31" w:rsidP="00EE0C31">
      <w:pPr>
        <w:rPr>
          <w:lang w:eastAsia="zh-TW"/>
        </w:rPr>
      </w:pPr>
      <w:r w:rsidRPr="00EE0C31">
        <w:t>Group paging rate of 10%</w:t>
      </w:r>
      <w:r w:rsidRPr="00EE0C31">
        <w:rPr>
          <w:rStyle w:val="apple-converted-space"/>
        </w:rPr>
        <w:t xml:space="preserve"> </w:t>
      </w:r>
      <w:r w:rsidRPr="00EE0C31">
        <w:t>is assumed for the evaluation of Rel-17 paging enhancement</w:t>
      </w:r>
    </w:p>
    <w:p w14:paraId="39055CC3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</w:rPr>
      </w:pPr>
      <w:r w:rsidRPr="00EE0C31">
        <w:rPr>
          <w:rFonts w:ascii="Times New Roman" w:hAnsi="Times New Roman" w:cs="Times New Roman"/>
          <w:sz w:val="20"/>
          <w:szCs w:val="20"/>
        </w:rPr>
        <w:t>FFS: Another group paging rate &gt; 10%</w:t>
      </w:r>
    </w:p>
    <w:p w14:paraId="1DC469A0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</w:rPr>
      </w:pPr>
      <w:r w:rsidRPr="00EE0C31">
        <w:rPr>
          <w:rFonts w:ascii="Times New Roman" w:hAnsi="Times New Roman" w:cs="Times New Roman"/>
          <w:sz w:val="20"/>
          <w:szCs w:val="20"/>
        </w:rPr>
        <w:t>Note: If UE sub-grouping is applied, the sub-group paging rate can be reduced w.r.t. the total sub-group number for a PO</w:t>
      </w:r>
    </w:p>
    <w:p w14:paraId="7E575882" w14:textId="77777777" w:rsidR="00EE0C31" w:rsidRDefault="00EE0C31" w:rsidP="00EE0C31">
      <w:pPr>
        <w:rPr>
          <w:highlight w:val="green"/>
        </w:rPr>
      </w:pPr>
    </w:p>
    <w:p w14:paraId="5F1452CB" w14:textId="77777777" w:rsidR="00010D84" w:rsidRDefault="00010D84" w:rsidP="00EE0C31">
      <w:pPr>
        <w:rPr>
          <w:highlight w:val="green"/>
        </w:rPr>
      </w:pPr>
    </w:p>
    <w:p w14:paraId="1314EF3A" w14:textId="77777777" w:rsidR="00EE0C31" w:rsidRPr="00EE0C31" w:rsidRDefault="00EE0C31" w:rsidP="00EE0C31">
      <w:pPr>
        <w:rPr>
          <w:highlight w:val="green"/>
        </w:rPr>
      </w:pPr>
      <w:r w:rsidRPr="00EE0C31">
        <w:rPr>
          <w:highlight w:val="green"/>
        </w:rPr>
        <w:t>Agreements:</w:t>
      </w:r>
    </w:p>
    <w:p w14:paraId="252A3E37" w14:textId="77777777" w:rsidR="00EE0C31" w:rsidRPr="00EE0C31" w:rsidRDefault="00EE0C31" w:rsidP="00EE0C31">
      <w:r w:rsidRPr="00EE0C31">
        <w:t>For the study on paging enhancements to reduce unnecessary paging reception, the following metrics are considered:</w:t>
      </w:r>
    </w:p>
    <w:p w14:paraId="60A19C05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UE power saving gain (relative to a given feature or overall)</w:t>
      </w:r>
    </w:p>
    <w:p w14:paraId="32EB5611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Style w:val="apple-converted-space"/>
          <w:rFonts w:ascii="Times New Roman" w:hAnsi="Times New Roman" w:cs="Times New Roman"/>
          <w:sz w:val="20"/>
          <w:szCs w:val="20"/>
          <w:lang w:eastAsia="ko-KR"/>
        </w:rPr>
        <w:t> </w:t>
      </w:r>
      <w:r w:rsidRPr="00EE0C31">
        <w:rPr>
          <w:rFonts w:ascii="Times New Roman" w:hAnsi="Times New Roman" w:cs="Times New Roman"/>
          <w:sz w:val="20"/>
          <w:szCs w:val="20"/>
          <w:lang w:eastAsia="ko-KR"/>
        </w:rPr>
        <w:t>Impact to UE paging detection probability</w:t>
      </w:r>
      <w:r w:rsidRPr="00EE0C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519362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Style w:val="apple-converted-space"/>
          <w:rFonts w:ascii="Times New Roman" w:hAnsi="Times New Roman" w:cs="Times New Roman"/>
          <w:sz w:val="20"/>
          <w:szCs w:val="20"/>
          <w:lang w:eastAsia="ko-KR"/>
        </w:rPr>
        <w:t> </w:t>
      </w:r>
      <w:r w:rsidRPr="00EE0C31">
        <w:rPr>
          <w:rFonts w:ascii="Times New Roman" w:hAnsi="Times New Roman" w:cs="Times New Roman"/>
          <w:sz w:val="20"/>
          <w:szCs w:val="20"/>
          <w:lang w:eastAsia="ko-KR"/>
        </w:rPr>
        <w:t>FFS: Link level simulation assumptions</w:t>
      </w:r>
    </w:p>
    <w:p w14:paraId="198FDBD7" w14:textId="77777777" w:rsidR="00EE0C31" w:rsidRPr="00EE0C31" w:rsidRDefault="00EE0C31" w:rsidP="00EE0C31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System impact, including</w:t>
      </w:r>
      <w:r w:rsidRPr="00EE0C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F1744A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Additional resource overhead and its implications</w:t>
      </w:r>
    </w:p>
    <w:p w14:paraId="500702AA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Impact to Rel-15/Rel-16 idle/inactive-mode UEs and connected-mode UEs</w:t>
      </w:r>
    </w:p>
    <w:p w14:paraId="37FE0E0C" w14:textId="77777777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Impact to other legacy functionalities, including SI change and ETWS indication</w:t>
      </w:r>
    </w:p>
    <w:p w14:paraId="5DA7E8CE" w14:textId="107E3A91" w:rsidR="00EE0C31" w:rsidRPr="00EE0C31" w:rsidRDefault="00EE0C31" w:rsidP="00EE0C31">
      <w:pPr>
        <w:pStyle w:val="ListParagraph"/>
        <w:numPr>
          <w:ilvl w:val="1"/>
          <w:numId w:val="24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0"/>
          <w:szCs w:val="20"/>
          <w:lang w:eastAsia="ko-KR"/>
        </w:rPr>
      </w:pPr>
      <w:r w:rsidRPr="00EE0C31">
        <w:rPr>
          <w:rFonts w:ascii="Times New Roman" w:hAnsi="Times New Roman" w:cs="Times New Roman"/>
          <w:sz w:val="20"/>
          <w:szCs w:val="20"/>
          <w:lang w:eastAsia="ko-KR"/>
        </w:rPr>
        <w:t>[Note: NW energy consumption evaluation is not precluded]</w:t>
      </w:r>
    </w:p>
    <w:p w14:paraId="55998A31" w14:textId="77777777" w:rsidR="00EE0C31" w:rsidRDefault="00EE0C31" w:rsidP="00EE0C31">
      <w:pPr>
        <w:rPr>
          <w:highlight w:val="green"/>
        </w:rPr>
      </w:pPr>
    </w:p>
    <w:p w14:paraId="0D9B03D3" w14:textId="77777777" w:rsidR="00EE0C31" w:rsidRPr="00EE0C31" w:rsidRDefault="00EE0C31" w:rsidP="00EE0C31">
      <w:pPr>
        <w:rPr>
          <w:highlight w:val="green"/>
        </w:rPr>
      </w:pPr>
      <w:r w:rsidRPr="00EE0C31">
        <w:rPr>
          <w:highlight w:val="green"/>
        </w:rPr>
        <w:t>Agreements:</w:t>
      </w:r>
    </w:p>
    <w:p w14:paraId="0EEE7917" w14:textId="77777777" w:rsidR="00EE0C31" w:rsidRPr="00EE0C31" w:rsidRDefault="00EE0C31" w:rsidP="00EE0C31">
      <w:pPr>
        <w:numPr>
          <w:ilvl w:val="0"/>
          <w:numId w:val="25"/>
        </w:numPr>
      </w:pPr>
      <w:r w:rsidRPr="00EE0C31">
        <w:t>For the study of paging enhancement, 1, 2, or 3 SS burst processing is assumed before PO</w:t>
      </w:r>
    </w:p>
    <w:p w14:paraId="658A3DC3" w14:textId="13734F97" w:rsidR="00EE0C31" w:rsidRPr="00EE0C31" w:rsidRDefault="00EE0C31" w:rsidP="00EE0C31">
      <w:pPr>
        <w:numPr>
          <w:ilvl w:val="1"/>
          <w:numId w:val="25"/>
        </w:numPr>
      </w:pPr>
      <w:r w:rsidRPr="00EE0C31">
        <w:t>Note: in choosing one or more values (1, 2, or 3) for the evaluations, companies to provide justification</w:t>
      </w:r>
    </w:p>
    <w:p w14:paraId="1FB516BE" w14:textId="77777777" w:rsidR="00A12FD0" w:rsidRDefault="00A12FD0" w:rsidP="00A12FD0">
      <w:pPr>
        <w:spacing w:after="120"/>
        <w:rPr>
          <w:rFonts w:ascii="Arial" w:hAnsi="Arial"/>
          <w:sz w:val="18"/>
        </w:rPr>
      </w:pPr>
    </w:p>
    <w:p w14:paraId="304121FC" w14:textId="77777777" w:rsidR="00EE0C31" w:rsidRPr="000A7857" w:rsidRDefault="00EE0C31" w:rsidP="00A12FD0">
      <w:pPr>
        <w:spacing w:after="120"/>
        <w:rPr>
          <w:rFonts w:ascii="Arial" w:hAnsi="Arial"/>
          <w:sz w:val="18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77777777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067466">
        <w:rPr>
          <w:rFonts w:ascii="Arial" w:hAnsi="Arial" w:cs="Arial"/>
          <w:b/>
        </w:rPr>
        <w:t>2:</w:t>
      </w:r>
    </w:p>
    <w:p w14:paraId="523AC737" w14:textId="49F111FE" w:rsidR="00A12FD0" w:rsidRPr="00EE0C31" w:rsidRDefault="00067466" w:rsidP="00EE0C31">
      <w:pPr>
        <w:rPr>
          <w:rFonts w:ascii="Arial" w:hAnsi="Arial" w:cs="Arial"/>
        </w:rPr>
      </w:pPr>
      <w:r w:rsidRPr="00EE0C31">
        <w:rPr>
          <w:rFonts w:ascii="Arial" w:hAnsi="Arial" w:cs="Arial"/>
        </w:rPr>
        <w:t xml:space="preserve">RAN1 </w:t>
      </w:r>
      <w:r w:rsidR="00EE0C31">
        <w:rPr>
          <w:rFonts w:ascii="Arial" w:hAnsi="Arial" w:cs="Arial"/>
        </w:rPr>
        <w:t>respectfully</w:t>
      </w:r>
      <w:r w:rsidRPr="00EE0C31">
        <w:rPr>
          <w:rFonts w:ascii="Arial" w:hAnsi="Arial" w:cs="Arial"/>
        </w:rPr>
        <w:t xml:space="preserve"> asks RAN2 to take </w:t>
      </w:r>
      <w:r w:rsidR="00EE0C31" w:rsidRPr="00EE0C31">
        <w:rPr>
          <w:rFonts w:ascii="Arial" w:hAnsi="Arial" w:cs="Arial"/>
        </w:rPr>
        <w:t>the evaluation methodology</w:t>
      </w:r>
      <w:r w:rsidR="00EE0C31">
        <w:rPr>
          <w:rFonts w:ascii="Arial" w:hAnsi="Arial" w:cs="Arial"/>
        </w:rPr>
        <w:t xml:space="preserve"> for paging enhancement</w:t>
      </w:r>
      <w:r w:rsidR="00010D84">
        <w:rPr>
          <w:rFonts w:ascii="Arial" w:hAnsi="Arial" w:cs="Arial"/>
        </w:rPr>
        <w:t>(</w:t>
      </w:r>
      <w:r w:rsidR="00EE0C31">
        <w:rPr>
          <w:rFonts w:ascii="Arial" w:hAnsi="Arial" w:cs="Arial"/>
        </w:rPr>
        <w:t>s</w:t>
      </w:r>
      <w:r w:rsidR="00010D84">
        <w:rPr>
          <w:rFonts w:ascii="Arial" w:hAnsi="Arial" w:cs="Arial"/>
        </w:rPr>
        <w:t>)</w:t>
      </w:r>
      <w:bookmarkStart w:id="1" w:name="_GoBack"/>
      <w:bookmarkEnd w:id="1"/>
      <w:r w:rsidR="00EE0C31" w:rsidRPr="00EE0C31">
        <w:rPr>
          <w:rFonts w:ascii="Arial" w:hAnsi="Arial" w:cs="Arial"/>
        </w:rPr>
        <w:t xml:space="preserve"> </w:t>
      </w:r>
      <w:r w:rsidRPr="00EE0C31">
        <w:rPr>
          <w:rFonts w:ascii="Arial" w:hAnsi="Arial" w:cs="Arial"/>
        </w:rPr>
        <w:t>into account</w:t>
      </w:r>
      <w:r w:rsidR="00EE0C31">
        <w:rPr>
          <w:rFonts w:ascii="Arial" w:hAnsi="Arial" w:cs="Arial"/>
        </w:rPr>
        <w:t xml:space="preserve"> in the corresponding RAN2 study. </w:t>
      </w:r>
    </w:p>
    <w:p w14:paraId="3F8161FC" w14:textId="77777777" w:rsidR="00EE0C31" w:rsidRPr="00010D84" w:rsidRDefault="00EE0C31" w:rsidP="00010D84">
      <w:pPr>
        <w:spacing w:after="120"/>
        <w:rPr>
          <w:rFonts w:ascii="Arial" w:hAnsi="Arial" w:cs="Arial"/>
        </w:rPr>
      </w:pPr>
    </w:p>
    <w:p w14:paraId="6198E553" w14:textId="77777777" w:rsidR="00EE0C31" w:rsidRPr="00EA5112" w:rsidRDefault="00EE0C31" w:rsidP="00A12FD0">
      <w:pPr>
        <w:pStyle w:val="ListParagraph"/>
        <w:spacing w:after="120"/>
        <w:rPr>
          <w:rFonts w:ascii="Arial" w:hAnsi="Arial" w:cs="Arial"/>
          <w:sz w:val="20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28EC4CA8" w14:textId="110C3104" w:rsidR="00BA6580" w:rsidRDefault="00BA6580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WG1 Meeting </w:t>
      </w:r>
      <w:r w:rsidR="00EE0C31">
        <w:rPr>
          <w:rFonts w:ascii="Arial" w:hAnsi="Arial" w:cs="Arial"/>
          <w:bCs/>
        </w:rPr>
        <w:t xml:space="preserve">103-e </w:t>
      </w:r>
      <w:r w:rsidR="00EE0C31">
        <w:rPr>
          <w:rFonts w:ascii="Arial" w:hAnsi="Arial" w:cs="Arial"/>
          <w:bCs/>
        </w:rPr>
        <w:tab/>
        <w:t>26 October</w:t>
      </w:r>
      <w:r>
        <w:rPr>
          <w:rFonts w:ascii="Arial" w:hAnsi="Arial" w:cs="Arial"/>
          <w:bCs/>
        </w:rPr>
        <w:t xml:space="preserve"> – </w:t>
      </w:r>
      <w:r w:rsidR="00EE0C31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</w:t>
      </w:r>
      <w:r w:rsidR="00EE0C31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e-Meeting</w:t>
      </w:r>
    </w:p>
    <w:p w14:paraId="61A8A133" w14:textId="2B5A3A75" w:rsidR="00893A4F" w:rsidRDefault="00EE0C31" w:rsidP="00893A4F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104</w:t>
      </w:r>
      <w:r>
        <w:rPr>
          <w:rFonts w:ascii="Arial" w:hAnsi="Arial" w:cs="Arial"/>
          <w:bCs/>
        </w:rPr>
        <w:tab/>
        <w:t>01 – 05</w:t>
      </w:r>
      <w:r w:rsidR="00893A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March</w:t>
      </w:r>
      <w:r w:rsidR="00893A4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="00893A4F" w:rsidRPr="00EE588E">
        <w:rPr>
          <w:rFonts w:ascii="Arial" w:hAnsi="Arial" w:cs="Arial"/>
          <w:bCs/>
        </w:rPr>
        <w:t xml:space="preserve"> </w:t>
      </w:r>
      <w:r w:rsidR="00893A4F" w:rsidRPr="00EE588E">
        <w:rPr>
          <w:rFonts w:ascii="Arial" w:hAnsi="Arial" w:cs="Arial"/>
          <w:bCs/>
        </w:rPr>
        <w:tab/>
        <w:t xml:space="preserve"> </w:t>
      </w:r>
      <w:r w:rsidR="00893A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</w:t>
      </w:r>
      <w:r w:rsidR="00893A4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Greece</w:t>
      </w:r>
    </w:p>
    <w:p w14:paraId="0BC3628E" w14:textId="77777777" w:rsidR="00893A4F" w:rsidRDefault="00893A4F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p w14:paraId="1DD470B9" w14:textId="0A55FD91" w:rsidR="00210730" w:rsidRDefault="00210730" w:rsidP="00097D1D">
      <w:pPr>
        <w:tabs>
          <w:tab w:val="left" w:pos="2880"/>
          <w:tab w:val="left" w:pos="3600"/>
          <w:tab w:val="left" w:pos="5040"/>
          <w:tab w:val="left" w:pos="5103"/>
        </w:tabs>
        <w:spacing w:after="120"/>
        <w:ind w:left="2275" w:hanging="2275"/>
        <w:rPr>
          <w:rFonts w:ascii="Arial" w:hAnsi="Arial" w:cs="Arial"/>
          <w:bCs/>
        </w:rPr>
      </w:pPr>
    </w:p>
    <w:sectPr w:rsidR="0021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DD7B3" w14:textId="77777777" w:rsidR="00622E06" w:rsidRDefault="00622E06" w:rsidP="00F64D13">
      <w:r>
        <w:separator/>
      </w:r>
    </w:p>
  </w:endnote>
  <w:endnote w:type="continuationSeparator" w:id="0">
    <w:p w14:paraId="0A6C6576" w14:textId="77777777" w:rsidR="00622E06" w:rsidRDefault="00622E06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525FB" w14:textId="77777777" w:rsidR="00622E06" w:rsidRDefault="00622E06" w:rsidP="00F64D13">
      <w:r>
        <w:separator/>
      </w:r>
    </w:p>
  </w:footnote>
  <w:footnote w:type="continuationSeparator" w:id="0">
    <w:p w14:paraId="119ABE9E" w14:textId="77777777" w:rsidR="00622E06" w:rsidRDefault="00622E06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A04"/>
    <w:multiLevelType w:val="hybridMultilevel"/>
    <w:tmpl w:val="FA10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5A5DD2"/>
    <w:multiLevelType w:val="multilevel"/>
    <w:tmpl w:val="F240240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77F1"/>
    <w:multiLevelType w:val="hybridMultilevel"/>
    <w:tmpl w:val="AEA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67594"/>
    <w:multiLevelType w:val="multilevel"/>
    <w:tmpl w:val="1B16721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1F164B"/>
    <w:multiLevelType w:val="hybridMultilevel"/>
    <w:tmpl w:val="FCE814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DE11645"/>
    <w:multiLevelType w:val="multilevel"/>
    <w:tmpl w:val="1CF40D9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1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4DC66241"/>
    <w:multiLevelType w:val="hybridMultilevel"/>
    <w:tmpl w:val="10B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1D88"/>
    <w:multiLevelType w:val="hybridMultilevel"/>
    <w:tmpl w:val="58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A521C"/>
    <w:multiLevelType w:val="multilevel"/>
    <w:tmpl w:val="97FE8A88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360E8"/>
    <w:multiLevelType w:val="hybridMultilevel"/>
    <w:tmpl w:val="3C8C5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93053"/>
    <w:multiLevelType w:val="hybridMultilevel"/>
    <w:tmpl w:val="81C6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637C5"/>
    <w:multiLevelType w:val="hybridMultilevel"/>
    <w:tmpl w:val="B4C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868CC"/>
    <w:multiLevelType w:val="multilevel"/>
    <w:tmpl w:val="383EFA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"/>
  </w:num>
  <w:num w:numId="7">
    <w:abstractNumId w:val="28"/>
  </w:num>
  <w:num w:numId="8">
    <w:abstractNumId w:val="12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2"/>
  </w:num>
  <w:num w:numId="14">
    <w:abstractNumId w:val="5"/>
  </w:num>
  <w:num w:numId="15">
    <w:abstractNumId w:val="25"/>
  </w:num>
  <w:num w:numId="16">
    <w:abstractNumId w:val="29"/>
  </w:num>
  <w:num w:numId="17">
    <w:abstractNumId w:val="18"/>
  </w:num>
  <w:num w:numId="18">
    <w:abstractNumId w:val="30"/>
  </w:num>
  <w:num w:numId="19">
    <w:abstractNumId w:val="13"/>
  </w:num>
  <w:num w:numId="20">
    <w:abstractNumId w:val="3"/>
  </w:num>
  <w:num w:numId="21">
    <w:abstractNumId w:val="15"/>
  </w:num>
  <w:num w:numId="22">
    <w:abstractNumId w:val="23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4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0"/>
    <w:rsid w:val="00010D84"/>
    <w:rsid w:val="00022C0C"/>
    <w:rsid w:val="00032058"/>
    <w:rsid w:val="000472E1"/>
    <w:rsid w:val="00047878"/>
    <w:rsid w:val="00056C46"/>
    <w:rsid w:val="000572E6"/>
    <w:rsid w:val="00067466"/>
    <w:rsid w:val="00086943"/>
    <w:rsid w:val="00096B0A"/>
    <w:rsid w:val="00097D1D"/>
    <w:rsid w:val="000A3A78"/>
    <w:rsid w:val="000A6897"/>
    <w:rsid w:val="000A6A3C"/>
    <w:rsid w:val="000A7857"/>
    <w:rsid w:val="000B651E"/>
    <w:rsid w:val="000C1268"/>
    <w:rsid w:val="000D5C91"/>
    <w:rsid w:val="000E49B2"/>
    <w:rsid w:val="000F0D14"/>
    <w:rsid w:val="0011207E"/>
    <w:rsid w:val="001136F2"/>
    <w:rsid w:val="00132B7A"/>
    <w:rsid w:val="00137B2D"/>
    <w:rsid w:val="001406EA"/>
    <w:rsid w:val="00172B15"/>
    <w:rsid w:val="00175BAE"/>
    <w:rsid w:val="00181877"/>
    <w:rsid w:val="001A1961"/>
    <w:rsid w:val="001D34DD"/>
    <w:rsid w:val="001F078B"/>
    <w:rsid w:val="001F6EF2"/>
    <w:rsid w:val="00204991"/>
    <w:rsid w:val="00210730"/>
    <w:rsid w:val="00234722"/>
    <w:rsid w:val="00247E68"/>
    <w:rsid w:val="002507C9"/>
    <w:rsid w:val="00253959"/>
    <w:rsid w:val="00263C5C"/>
    <w:rsid w:val="002936AE"/>
    <w:rsid w:val="002946F5"/>
    <w:rsid w:val="002A0331"/>
    <w:rsid w:val="002B2ABB"/>
    <w:rsid w:val="002B7F08"/>
    <w:rsid w:val="002C0642"/>
    <w:rsid w:val="002C2CE2"/>
    <w:rsid w:val="002C495D"/>
    <w:rsid w:val="002E2FEA"/>
    <w:rsid w:val="00300520"/>
    <w:rsid w:val="00304CF0"/>
    <w:rsid w:val="00317038"/>
    <w:rsid w:val="0032440D"/>
    <w:rsid w:val="00324DF8"/>
    <w:rsid w:val="003337A8"/>
    <w:rsid w:val="00336286"/>
    <w:rsid w:val="00343D99"/>
    <w:rsid w:val="00347690"/>
    <w:rsid w:val="003503B8"/>
    <w:rsid w:val="0035341E"/>
    <w:rsid w:val="003536CF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A0261"/>
    <w:rsid w:val="003B4BBA"/>
    <w:rsid w:val="003D0CE5"/>
    <w:rsid w:val="003D3854"/>
    <w:rsid w:val="003E21C5"/>
    <w:rsid w:val="004078C8"/>
    <w:rsid w:val="00407B59"/>
    <w:rsid w:val="00422E67"/>
    <w:rsid w:val="00442A75"/>
    <w:rsid w:val="00445B51"/>
    <w:rsid w:val="004461F6"/>
    <w:rsid w:val="00454C18"/>
    <w:rsid w:val="00456EA2"/>
    <w:rsid w:val="00466307"/>
    <w:rsid w:val="0047571A"/>
    <w:rsid w:val="00494E67"/>
    <w:rsid w:val="004A7B92"/>
    <w:rsid w:val="004B16A5"/>
    <w:rsid w:val="004F5034"/>
    <w:rsid w:val="004F7915"/>
    <w:rsid w:val="00503A1A"/>
    <w:rsid w:val="005077F2"/>
    <w:rsid w:val="0051247C"/>
    <w:rsid w:val="00513CC1"/>
    <w:rsid w:val="00516947"/>
    <w:rsid w:val="005268FA"/>
    <w:rsid w:val="005367E6"/>
    <w:rsid w:val="0055021A"/>
    <w:rsid w:val="00565D30"/>
    <w:rsid w:val="00567D1E"/>
    <w:rsid w:val="005708C8"/>
    <w:rsid w:val="00573107"/>
    <w:rsid w:val="00574EA2"/>
    <w:rsid w:val="0058089C"/>
    <w:rsid w:val="005814B4"/>
    <w:rsid w:val="005924A5"/>
    <w:rsid w:val="005B13DC"/>
    <w:rsid w:val="005B33A8"/>
    <w:rsid w:val="005B5DE1"/>
    <w:rsid w:val="005C01BB"/>
    <w:rsid w:val="005C7238"/>
    <w:rsid w:val="005D2BC8"/>
    <w:rsid w:val="005E5FCF"/>
    <w:rsid w:val="005F73AA"/>
    <w:rsid w:val="006042B6"/>
    <w:rsid w:val="00614F8D"/>
    <w:rsid w:val="00621AAD"/>
    <w:rsid w:val="00622E06"/>
    <w:rsid w:val="00625F8F"/>
    <w:rsid w:val="00635751"/>
    <w:rsid w:val="00636131"/>
    <w:rsid w:val="00640A5B"/>
    <w:rsid w:val="00642BAC"/>
    <w:rsid w:val="006566F5"/>
    <w:rsid w:val="00677144"/>
    <w:rsid w:val="006826B8"/>
    <w:rsid w:val="00687A88"/>
    <w:rsid w:val="006959A0"/>
    <w:rsid w:val="006B0081"/>
    <w:rsid w:val="006B2692"/>
    <w:rsid w:val="006C52B7"/>
    <w:rsid w:val="006D0E9A"/>
    <w:rsid w:val="006F2AAC"/>
    <w:rsid w:val="00736CD6"/>
    <w:rsid w:val="00762F78"/>
    <w:rsid w:val="0076433B"/>
    <w:rsid w:val="00765435"/>
    <w:rsid w:val="007706AF"/>
    <w:rsid w:val="007743E5"/>
    <w:rsid w:val="0078176C"/>
    <w:rsid w:val="007A4A27"/>
    <w:rsid w:val="007A4EE1"/>
    <w:rsid w:val="007A68B5"/>
    <w:rsid w:val="007C1C96"/>
    <w:rsid w:val="007C3C4F"/>
    <w:rsid w:val="007E159C"/>
    <w:rsid w:val="007F0E09"/>
    <w:rsid w:val="007F4E5E"/>
    <w:rsid w:val="007F65F1"/>
    <w:rsid w:val="00805F76"/>
    <w:rsid w:val="0081516B"/>
    <w:rsid w:val="008204EA"/>
    <w:rsid w:val="00823F4E"/>
    <w:rsid w:val="00837A11"/>
    <w:rsid w:val="00845007"/>
    <w:rsid w:val="00861C53"/>
    <w:rsid w:val="008730B6"/>
    <w:rsid w:val="0089147F"/>
    <w:rsid w:val="00893470"/>
    <w:rsid w:val="00893A4F"/>
    <w:rsid w:val="00895A82"/>
    <w:rsid w:val="008A5252"/>
    <w:rsid w:val="008D09F8"/>
    <w:rsid w:val="008D22BB"/>
    <w:rsid w:val="008D3307"/>
    <w:rsid w:val="00900F6F"/>
    <w:rsid w:val="00921099"/>
    <w:rsid w:val="0093035B"/>
    <w:rsid w:val="00942726"/>
    <w:rsid w:val="00943917"/>
    <w:rsid w:val="0094426B"/>
    <w:rsid w:val="00960BEC"/>
    <w:rsid w:val="00974944"/>
    <w:rsid w:val="00977555"/>
    <w:rsid w:val="00987408"/>
    <w:rsid w:val="00992DD9"/>
    <w:rsid w:val="009969DE"/>
    <w:rsid w:val="009A0AFD"/>
    <w:rsid w:val="009B0050"/>
    <w:rsid w:val="009B7F79"/>
    <w:rsid w:val="009C09E5"/>
    <w:rsid w:val="009C0E64"/>
    <w:rsid w:val="009D6CED"/>
    <w:rsid w:val="009E4E55"/>
    <w:rsid w:val="009F47F1"/>
    <w:rsid w:val="00A061A9"/>
    <w:rsid w:val="00A10D03"/>
    <w:rsid w:val="00A12FD0"/>
    <w:rsid w:val="00A13E6F"/>
    <w:rsid w:val="00A24D20"/>
    <w:rsid w:val="00A2640E"/>
    <w:rsid w:val="00A33244"/>
    <w:rsid w:val="00A47BFE"/>
    <w:rsid w:val="00A53402"/>
    <w:rsid w:val="00A545CC"/>
    <w:rsid w:val="00A56EA9"/>
    <w:rsid w:val="00A719C0"/>
    <w:rsid w:val="00A73676"/>
    <w:rsid w:val="00A7554B"/>
    <w:rsid w:val="00A75E3F"/>
    <w:rsid w:val="00A75FCA"/>
    <w:rsid w:val="00A8093A"/>
    <w:rsid w:val="00A876B7"/>
    <w:rsid w:val="00AC5FAD"/>
    <w:rsid w:val="00AD0DC9"/>
    <w:rsid w:val="00AF7D41"/>
    <w:rsid w:val="00B03687"/>
    <w:rsid w:val="00B14DE9"/>
    <w:rsid w:val="00B15290"/>
    <w:rsid w:val="00B34B9F"/>
    <w:rsid w:val="00B35CBC"/>
    <w:rsid w:val="00B4294A"/>
    <w:rsid w:val="00B5018A"/>
    <w:rsid w:val="00B57347"/>
    <w:rsid w:val="00B72187"/>
    <w:rsid w:val="00B763F0"/>
    <w:rsid w:val="00B87D38"/>
    <w:rsid w:val="00B9743E"/>
    <w:rsid w:val="00BA1644"/>
    <w:rsid w:val="00BA25FF"/>
    <w:rsid w:val="00BA6580"/>
    <w:rsid w:val="00BA7569"/>
    <w:rsid w:val="00BC7B96"/>
    <w:rsid w:val="00BD3DF3"/>
    <w:rsid w:val="00C03748"/>
    <w:rsid w:val="00C16981"/>
    <w:rsid w:val="00C23F1D"/>
    <w:rsid w:val="00C45959"/>
    <w:rsid w:val="00C60B60"/>
    <w:rsid w:val="00C672AF"/>
    <w:rsid w:val="00C738CD"/>
    <w:rsid w:val="00C83A9E"/>
    <w:rsid w:val="00C93237"/>
    <w:rsid w:val="00C938EA"/>
    <w:rsid w:val="00CA22F1"/>
    <w:rsid w:val="00CA6500"/>
    <w:rsid w:val="00CC435B"/>
    <w:rsid w:val="00CC460A"/>
    <w:rsid w:val="00CC4DE5"/>
    <w:rsid w:val="00CD3136"/>
    <w:rsid w:val="00CE7F3B"/>
    <w:rsid w:val="00CF577C"/>
    <w:rsid w:val="00D056C5"/>
    <w:rsid w:val="00D1386F"/>
    <w:rsid w:val="00D202FB"/>
    <w:rsid w:val="00D344DA"/>
    <w:rsid w:val="00D5048E"/>
    <w:rsid w:val="00D615DA"/>
    <w:rsid w:val="00D65DF8"/>
    <w:rsid w:val="00D806F8"/>
    <w:rsid w:val="00D83E17"/>
    <w:rsid w:val="00D862BC"/>
    <w:rsid w:val="00D865DE"/>
    <w:rsid w:val="00D93A55"/>
    <w:rsid w:val="00DA53B6"/>
    <w:rsid w:val="00DB0F79"/>
    <w:rsid w:val="00DB2E12"/>
    <w:rsid w:val="00DC0787"/>
    <w:rsid w:val="00DD55E4"/>
    <w:rsid w:val="00DD5901"/>
    <w:rsid w:val="00DD6352"/>
    <w:rsid w:val="00DE0975"/>
    <w:rsid w:val="00DE560F"/>
    <w:rsid w:val="00DF4752"/>
    <w:rsid w:val="00E046D1"/>
    <w:rsid w:val="00E117AA"/>
    <w:rsid w:val="00E14A16"/>
    <w:rsid w:val="00E21016"/>
    <w:rsid w:val="00E24A8B"/>
    <w:rsid w:val="00E25BD2"/>
    <w:rsid w:val="00E27A20"/>
    <w:rsid w:val="00E51312"/>
    <w:rsid w:val="00E52928"/>
    <w:rsid w:val="00E7574E"/>
    <w:rsid w:val="00E83F4E"/>
    <w:rsid w:val="00EA5112"/>
    <w:rsid w:val="00EB18CC"/>
    <w:rsid w:val="00EC126C"/>
    <w:rsid w:val="00EC2A51"/>
    <w:rsid w:val="00ED0E1D"/>
    <w:rsid w:val="00EE0C31"/>
    <w:rsid w:val="00EE3A7D"/>
    <w:rsid w:val="00EE5A0D"/>
    <w:rsid w:val="00EE5D88"/>
    <w:rsid w:val="00EF5A06"/>
    <w:rsid w:val="00EF687E"/>
    <w:rsid w:val="00EF7261"/>
    <w:rsid w:val="00F1031B"/>
    <w:rsid w:val="00F16F1A"/>
    <w:rsid w:val="00F34220"/>
    <w:rsid w:val="00F34364"/>
    <w:rsid w:val="00F37417"/>
    <w:rsid w:val="00F457B6"/>
    <w:rsid w:val="00F45B7C"/>
    <w:rsid w:val="00F56B1D"/>
    <w:rsid w:val="00F64D13"/>
    <w:rsid w:val="00F85AB7"/>
    <w:rsid w:val="00F9033B"/>
    <w:rsid w:val="00F96D39"/>
    <w:rsid w:val="00F97C47"/>
    <w:rsid w:val="00FA1179"/>
    <w:rsid w:val="00FA22DA"/>
    <w:rsid w:val="00FA7CDE"/>
    <w:rsid w:val="00FB264A"/>
    <w:rsid w:val="00FC1757"/>
    <w:rsid w:val="00FD22E0"/>
    <w:rsid w:val="00FD517F"/>
    <w:rsid w:val="00FD6C5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apple-converted-space">
    <w:name w:val="apple-converted-space"/>
    <w:rsid w:val="00EE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3F36-4491-4E1E-9635-E667979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MediaTek</cp:lastModifiedBy>
  <cp:revision>2</cp:revision>
  <dcterms:created xsi:type="dcterms:W3CDTF">2020-08-28T01:46:00Z</dcterms:created>
  <dcterms:modified xsi:type="dcterms:W3CDTF">2020-08-28T01:46:00Z</dcterms:modified>
</cp:coreProperties>
</file>