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23CE901F" w:rsidR="003A043D" w:rsidRPr="0042310C" w:rsidRDefault="003A043D" w:rsidP="003A043D">
      <w:pPr>
        <w:pStyle w:val="Header"/>
        <w:tabs>
          <w:tab w:val="right" w:pos="9498"/>
        </w:tabs>
        <w:rPr>
          <w:rFonts w:cs="Arial"/>
          <w:bCs/>
          <w:sz w:val="22"/>
        </w:rPr>
      </w:pPr>
      <w:bookmarkStart w:id="0" w:name="_Hlk52229393"/>
      <w:bookmarkEnd w:id="0"/>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45605F" w:rsidRPr="0045605F">
        <w:rPr>
          <w:rFonts w:cs="Arial"/>
          <w:bCs/>
          <w:sz w:val="22"/>
        </w:rPr>
        <w:t>200</w:t>
      </w:r>
      <w:r w:rsidR="00644108">
        <w:rPr>
          <w:rFonts w:cs="Arial"/>
          <w:bCs/>
          <w:sz w:val="22"/>
        </w:rPr>
        <w:t>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37CD158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w:t>
      </w:r>
      <w:r w:rsidR="00ED4D0E">
        <w:rPr>
          <w:rFonts w:ascii="Arial" w:hAnsi="Arial" w:cs="Arial"/>
          <w:b/>
        </w:rPr>
        <w:t>3</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1" w:name="foreword"/>
      <w:bookmarkStart w:id="2" w:name="scope"/>
      <w:bookmarkStart w:id="3" w:name="_Toc42034909"/>
      <w:bookmarkStart w:id="4" w:name="_Toc42211920"/>
      <w:bookmarkEnd w:id="1"/>
      <w:bookmarkEnd w:id="2"/>
      <w:r>
        <w:t>1</w:t>
      </w:r>
      <w:r>
        <w:tab/>
        <w:t>Introduction</w:t>
      </w:r>
      <w:bookmarkEnd w:id="3"/>
      <w:bookmarkEnd w:id="4"/>
    </w:p>
    <w:p w14:paraId="40372CE4" w14:textId="4F3C4051" w:rsidR="00607849" w:rsidRDefault="00607849" w:rsidP="00E24D36">
      <w:pPr>
        <w:rPr>
          <w:lang w:val="en-US"/>
        </w:rPr>
      </w:pPr>
      <w:r>
        <w:rPr>
          <w:lang w:val="en-US"/>
        </w:rPr>
        <w:t xml:space="preserve">This is FL summary </w:t>
      </w:r>
      <w:r w:rsidR="00BC357C">
        <w:rPr>
          <w:lang w:val="en-US"/>
        </w:rPr>
        <w:t>#</w:t>
      </w:r>
      <w:r w:rsidR="00ED4D0E">
        <w:rPr>
          <w:lang w:val="en-US"/>
        </w:rPr>
        <w:t>3</w:t>
      </w:r>
      <w:r w:rsidR="00BC357C">
        <w:rPr>
          <w:lang w:val="en-US"/>
        </w:rPr>
        <w:t xml:space="preserve"> </w:t>
      </w:r>
      <w:r>
        <w:rPr>
          <w:lang w:val="en-US"/>
        </w:rPr>
        <w:t>for Phase 1 in the following RAN1#102-e post-meeting email discussion</w:t>
      </w:r>
      <w:r w:rsidR="00B0564D">
        <w:rPr>
          <w:lang w:val="en-US"/>
        </w:rPr>
        <w:t>.</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2607EB61" w:rsidR="00B0564D" w:rsidRDefault="0090409C" w:rsidP="00420EFD">
      <w:pPr>
        <w:rPr>
          <w:lang w:val="en-US"/>
        </w:rPr>
      </w:pPr>
      <w:r>
        <w:rPr>
          <w:lang w:val="en-US"/>
        </w:rPr>
        <w:t>I</w:t>
      </w:r>
      <w:r w:rsidR="00B0564D">
        <w:rPr>
          <w:lang w:val="en-US"/>
        </w:rPr>
        <w:t xml:space="preserve">nitial proposals and responses are documented in FL summary #1 </w:t>
      </w:r>
      <w:r w:rsidR="00CE3D7D">
        <w:rPr>
          <w:lang w:val="en-US"/>
        </w:rPr>
        <w:t xml:space="preserve">(FLS1) </w:t>
      </w:r>
      <w:r w:rsidR="00B0564D">
        <w:rPr>
          <w:lang w:val="en-US"/>
        </w:rPr>
        <w:t xml:space="preserve">in </w:t>
      </w:r>
      <w:hyperlink r:id="rId11" w:history="1">
        <w:r w:rsidR="00EF3DC9" w:rsidRPr="0045605F">
          <w:rPr>
            <w:rStyle w:val="Hyperlink"/>
            <w:lang w:val="en-US"/>
          </w:rPr>
          <w:t>R1-2007476</w:t>
        </w:r>
      </w:hyperlink>
      <w:r w:rsidR="00644108">
        <w:rPr>
          <w:lang w:val="en-US"/>
        </w:rPr>
        <w:t xml:space="preserve"> and FL summary #2 (FLS2) in </w:t>
      </w:r>
      <w:r w:rsidR="00644108" w:rsidRPr="008958CF">
        <w:rPr>
          <w:lang w:val="en-US"/>
        </w:rPr>
        <w:t>R1-2007477</w:t>
      </w:r>
      <w:r w:rsidR="008958CF">
        <w:rPr>
          <w:lang w:val="en-US"/>
        </w:rPr>
        <w:t xml:space="preserve"> (</w:t>
      </w:r>
      <w:hyperlink r:id="rId12" w:history="1">
        <w:r w:rsidR="008958CF" w:rsidRPr="008958CF">
          <w:rPr>
            <w:rStyle w:val="Hyperlink"/>
            <w:lang w:val="en-US"/>
          </w:rPr>
          <w:t>Docs</w:t>
        </w:r>
      </w:hyperlink>
      <w:r w:rsidR="008958CF">
        <w:rPr>
          <w:lang w:val="en-US"/>
        </w:rPr>
        <w:t xml:space="preserve">, </w:t>
      </w:r>
      <w:hyperlink r:id="rId13" w:history="1">
        <w:r w:rsidR="008958CF" w:rsidRPr="008958CF">
          <w:rPr>
            <w:rStyle w:val="Hyperlink"/>
            <w:lang w:val="en-US"/>
          </w:rPr>
          <w:t>Inbox</w:t>
        </w:r>
      </w:hyperlink>
      <w:r w:rsidR="008958CF">
        <w:rPr>
          <w:lang w:val="en-US"/>
        </w:rPr>
        <w:t>).</w:t>
      </w:r>
    </w:p>
    <w:p w14:paraId="0180BD6B" w14:textId="2CD28697" w:rsidR="00E24D36" w:rsidRDefault="00503D6B" w:rsidP="00E24D36">
      <w:pPr>
        <w:pStyle w:val="Heading1"/>
      </w:pPr>
      <w:r>
        <w:t>2</w:t>
      </w:r>
      <w:r w:rsidR="00E24D36">
        <w:tab/>
        <w:t>Template for cost reduction evaluation</w:t>
      </w:r>
    </w:p>
    <w:p w14:paraId="21E16C3E" w14:textId="4794E0F7" w:rsidR="00232E49" w:rsidRDefault="00A17A57" w:rsidP="00232E49">
      <w:pPr>
        <w:rPr>
          <w:lang w:val="en-US"/>
        </w:rPr>
      </w:pPr>
      <w:r>
        <w:rPr>
          <w:lang w:val="en-US"/>
        </w:rPr>
        <w:t>An</w:t>
      </w:r>
      <w:r w:rsidR="00407B5F">
        <w:rPr>
          <w:lang w:val="en-US"/>
        </w:rPr>
        <w:t xml:space="preserve"> </w:t>
      </w:r>
      <w:r w:rsidR="00110A8C">
        <w:rPr>
          <w:lang w:val="en-US"/>
        </w:rPr>
        <w:t>updated</w:t>
      </w:r>
      <w:r w:rsidR="00407B5F">
        <w:rPr>
          <w:lang w:val="en-US"/>
        </w:rPr>
        <w:t xml:space="preserve"> draft template is provided in </w:t>
      </w:r>
      <w:hyperlink r:id="rId14" w:history="1">
        <w:r>
          <w:rPr>
            <w:rStyle w:val="Hyperlink"/>
          </w:rPr>
          <w:t>RedCapCostTemplate-v002.xlsx</w:t>
        </w:r>
      </w:hyperlink>
      <w:r w:rsidR="00407B5F">
        <w:rPr>
          <w:lang w:val="en-US"/>
        </w:rPr>
        <w:t>.</w:t>
      </w:r>
      <w:r w:rsidR="00232E49">
        <w:rPr>
          <w:lang w:val="en-US"/>
        </w:rPr>
        <w:t xml:space="preserve"> The template for cost reduction evaluation has three tabs for </w:t>
      </w:r>
      <w:r w:rsidR="00232E49" w:rsidRPr="00A13ED8">
        <w:rPr>
          <w:b/>
          <w:bCs/>
          <w:lang w:val="en-US"/>
        </w:rPr>
        <w:t>FR1 FDD</w:t>
      </w:r>
      <w:r w:rsidR="00232E49">
        <w:rPr>
          <w:lang w:val="en-US"/>
        </w:rPr>
        <w:t xml:space="preserve">, </w:t>
      </w:r>
      <w:r w:rsidR="00232E49" w:rsidRPr="00A13ED8">
        <w:rPr>
          <w:b/>
          <w:bCs/>
          <w:lang w:val="en-US"/>
        </w:rPr>
        <w:t>FR1 TDD</w:t>
      </w:r>
      <w:r w:rsidR="00232E49">
        <w:rPr>
          <w:lang w:val="en-US"/>
        </w:rPr>
        <w:t xml:space="preserve"> and </w:t>
      </w:r>
      <w:r w:rsidR="00232E49" w:rsidRPr="00A13ED8">
        <w:rPr>
          <w:b/>
          <w:bCs/>
          <w:lang w:val="en-US"/>
        </w:rPr>
        <w:t>FR2 TDD</w:t>
      </w:r>
      <w:r w:rsidR="00232E49">
        <w:rPr>
          <w:lang w:val="en-US"/>
        </w:rPr>
        <w:t xml:space="preserve">, respectively. On each tab, the details can be collapsed or expanded using the little buttons with numbers or plus/minus signs on them, </w:t>
      </w:r>
      <w:r w:rsidR="00232E49" w:rsidRPr="00A13ED8">
        <w:rPr>
          <w:highlight w:val="yellow"/>
          <w:lang w:val="en-US"/>
        </w:rPr>
        <w:t>highlighted</w:t>
      </w:r>
      <w:r w:rsidR="00232E49">
        <w:rPr>
          <w:lang w:val="en-US"/>
        </w:rPr>
        <w:t xml:space="preserve"> in the figure below.</w:t>
      </w:r>
    </w:p>
    <w:p w14:paraId="600246BC" w14:textId="77777777" w:rsidR="00232E49" w:rsidRDefault="00232E49" w:rsidP="00232E49">
      <w:pPr>
        <w:rPr>
          <w:lang w:val="en-US"/>
        </w:rPr>
      </w:pPr>
      <w:r>
        <w:rPr>
          <w:noProof/>
          <w:lang w:val="en-US" w:eastAsia="zh-CN"/>
        </w:rPr>
        <w:lastRenderedPageBreak/>
        <w:drawing>
          <wp:inline distT="0" distB="0" distL="0" distR="0" wp14:anchorId="4A02E498" wp14:editId="6C0877E7">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1400" cy="4455160"/>
                    </a:xfrm>
                    <a:prstGeom prst="rect">
                      <a:avLst/>
                    </a:prstGeom>
                  </pic:spPr>
                </pic:pic>
              </a:graphicData>
            </a:graphic>
          </wp:inline>
        </w:drawing>
      </w:r>
    </w:p>
    <w:p w14:paraId="52608DB0" w14:textId="70688E9A" w:rsidR="00232E49" w:rsidRDefault="00232E49" w:rsidP="00232E49">
      <w:pPr>
        <w:rPr>
          <w:lang w:val="en-US"/>
        </w:rPr>
      </w:pPr>
      <w:r>
        <w:rPr>
          <w:lang w:val="en-US"/>
        </w:rPr>
        <w:t xml:space="preserve">The cost breakdowns for the </w:t>
      </w:r>
      <w:r w:rsidRPr="00FD4588">
        <w:rPr>
          <w:b/>
          <w:bCs/>
          <w:color w:val="C00000"/>
          <w:lang w:val="en-US"/>
        </w:rPr>
        <w:t>Reference</w:t>
      </w:r>
      <w:r>
        <w:rPr>
          <w:lang w:val="en-US"/>
        </w:rPr>
        <w:t xml:space="preserve"> devices are given in Column B on each tab, although the tilde (~) signs are excluded to facilitate mathematical operations on the data. Contributing companies can enter their cost estimates in one of the following columns (</w:t>
      </w:r>
      <w:r w:rsidR="00B20B35">
        <w:rPr>
          <w:lang w:val="en-US"/>
        </w:rPr>
        <w:t xml:space="preserve">white cells in </w:t>
      </w:r>
      <w:r>
        <w:rPr>
          <w:lang w:val="en-US"/>
        </w:rPr>
        <w:t xml:space="preserve">Column C and onwards). For simplicity, but somewhat differently compared to the approach used in some of the tables in TR 36.888, all numbers are </w:t>
      </w:r>
      <w:r w:rsidRPr="004D6F34">
        <w:rPr>
          <w:b/>
          <w:bCs/>
          <w:i/>
          <w:iCs/>
          <w:lang w:val="en-US"/>
        </w:rPr>
        <w:t>cost estimates rather than cost reduction estimates</w:t>
      </w:r>
      <w:r>
        <w:rPr>
          <w:lang w:val="en-US"/>
        </w:rPr>
        <w:t xml:space="preserve">. For example, looking at the figure above where the Reference cost for FFT/IFFT is 4% of the baseband (BB) cost, if a cost reduction technique would be estimated to result in 25% cost reduction in FFT/IFFT, then </w:t>
      </w:r>
      <w:r w:rsidRPr="00035D84">
        <w:rPr>
          <w:b/>
          <w:bCs/>
          <w:i/>
          <w:iCs/>
          <w:lang w:val="en-US"/>
        </w:rPr>
        <w:t>the cost estimate to enter on that row in the company’s column would not be 25% but instead be 75% of 4%, i.e. 3%</w:t>
      </w:r>
      <w:r>
        <w:rPr>
          <w:lang w:val="en-US"/>
        </w:rPr>
        <w:t xml:space="preserve">. This lower cost will then be </w:t>
      </w:r>
      <w:r w:rsidRPr="00035D84">
        <w:rPr>
          <w:lang w:val="en-US"/>
        </w:rPr>
        <w:t>reflected in the totals “BB: Total” and “RF+BB: Total”.</w:t>
      </w:r>
    </w:p>
    <w:p w14:paraId="31713F54" w14:textId="622296CB" w:rsidR="00882728" w:rsidRDefault="00882728" w:rsidP="00232E49">
      <w:pPr>
        <w:rPr>
          <w:lang w:val="en-US"/>
        </w:rPr>
      </w:pPr>
      <w:r>
        <w:rPr>
          <w:lang w:val="en-US"/>
        </w:rPr>
        <w:t>Several responses in the second round of the email discussion (see FLS2) discussed whether “</w:t>
      </w:r>
      <w:r w:rsidRPr="00882728">
        <w:rPr>
          <w:i/>
          <w:iCs/>
          <w:lang w:val="en-US"/>
        </w:rPr>
        <w:t>Reduced number of DL MIMO layers</w:t>
      </w:r>
      <w:r>
        <w:rPr>
          <w:lang w:val="en-US"/>
        </w:rPr>
        <w:t>” and “</w:t>
      </w:r>
      <w:r w:rsidRPr="00882728">
        <w:rPr>
          <w:i/>
          <w:iCs/>
          <w:lang w:val="en-US"/>
        </w:rPr>
        <w:t>Reduced number of Rx antennas</w:t>
      </w:r>
      <w:r>
        <w:rPr>
          <w:lang w:val="en-US"/>
        </w:rPr>
        <w:t xml:space="preserve">” should be considered as individual cost reduction techniques or not. </w:t>
      </w:r>
      <w:r w:rsidR="00683FAA">
        <w:rPr>
          <w:lang w:val="en-US"/>
        </w:rPr>
        <w:t>The</w:t>
      </w:r>
      <w:r>
        <w:rPr>
          <w:lang w:val="en-US"/>
        </w:rPr>
        <w:t xml:space="preserve"> FL recommendation </w:t>
      </w:r>
      <w:r w:rsidR="00683FAA">
        <w:rPr>
          <w:lang w:val="en-US"/>
        </w:rPr>
        <w:t>in FLS2 was</w:t>
      </w:r>
      <w:r>
        <w:rPr>
          <w:lang w:val="en-US"/>
        </w:rPr>
        <w:t xml:space="preserve"> to consider them separately</w:t>
      </w:r>
      <w:r w:rsidR="00BA0FAD">
        <w:rPr>
          <w:lang w:val="en-US"/>
        </w:rPr>
        <w:t>, and the main reason for this recommendation is that otherwise the FR1 TDD tab will become a bit messy. For FR1 TDD, both the number of DL MIMO layers and the number of Rx antennas can be reduced from 4 to 1 or 2, meaning that there are multiple combinations of numbers of DL MIMO layers and numbers of Rx antennas that would need to be captured in order to reflect all relevant cases, but it has already been agreed (see FLS2) to not evaluate combinations, only individual techniques. This is the main reason why the FL recommendation is to consider “</w:t>
      </w:r>
      <w:r w:rsidR="00BA0FAD" w:rsidRPr="00882728">
        <w:rPr>
          <w:i/>
          <w:iCs/>
          <w:lang w:val="en-US"/>
        </w:rPr>
        <w:t>Reduced number of DL MIMO layers</w:t>
      </w:r>
      <w:r w:rsidR="00BA0FAD">
        <w:rPr>
          <w:lang w:val="en-US"/>
        </w:rPr>
        <w:t>” and “</w:t>
      </w:r>
      <w:r w:rsidR="00BA0FAD" w:rsidRPr="00882728">
        <w:rPr>
          <w:i/>
          <w:iCs/>
          <w:lang w:val="en-US"/>
        </w:rPr>
        <w:t>Reduced number of Rx antennas</w:t>
      </w:r>
      <w:r w:rsidR="00BA0FAD">
        <w:rPr>
          <w:lang w:val="en-US"/>
        </w:rPr>
        <w:t>” as individual cost reduction techniques, even though other reasons have also been discussed in some of the responses.</w:t>
      </w:r>
      <w:r w:rsidR="000304F8">
        <w:rPr>
          <w:lang w:val="en-US"/>
        </w:rPr>
        <w:t xml:space="preserve"> It should be relatively straightforward to evaluate them separately. Whether the total cost reduction from combinations of reduced numbers of DL MIMO layers and antennas can be estimated by adding the individual estimates </w:t>
      </w:r>
      <w:r w:rsidR="00133017">
        <w:rPr>
          <w:lang w:val="en-US"/>
        </w:rPr>
        <w:t xml:space="preserve">or not </w:t>
      </w:r>
      <w:r w:rsidR="000304F8">
        <w:rPr>
          <w:lang w:val="en-US"/>
        </w:rPr>
        <w:t xml:space="preserve">can be discussed in the next step when cost reduction from combinations </w:t>
      </w:r>
      <w:r w:rsidR="00D06D15">
        <w:rPr>
          <w:lang w:val="en-US"/>
        </w:rPr>
        <w:t xml:space="preserve">of techniques </w:t>
      </w:r>
      <w:r w:rsidR="000304F8">
        <w:rPr>
          <w:lang w:val="en-US"/>
        </w:rPr>
        <w:t>is addressed.</w:t>
      </w:r>
    </w:p>
    <w:p w14:paraId="21A22C95" w14:textId="5D1F0D43" w:rsidR="00232E49" w:rsidRDefault="00C0520D" w:rsidP="00232E49">
      <w:pPr>
        <w:rPr>
          <w:lang w:val="en-US"/>
        </w:rPr>
      </w:pPr>
      <w:r>
        <w:rPr>
          <w:lang w:val="en-US"/>
        </w:rPr>
        <w:t xml:space="preserve">Two responses (see FLS2) </w:t>
      </w:r>
      <w:r w:rsidR="006B3541">
        <w:rPr>
          <w:lang w:val="en-US"/>
        </w:rPr>
        <w:t>proposed</w:t>
      </w:r>
      <w:r>
        <w:rPr>
          <w:lang w:val="en-US"/>
        </w:rPr>
        <w:t xml:space="preserve"> to keep HD-FDD operation type B in the template. In </w:t>
      </w:r>
      <w:r w:rsidR="006B3541">
        <w:rPr>
          <w:lang w:val="en-US"/>
        </w:rPr>
        <w:t xml:space="preserve">line with this, </w:t>
      </w:r>
      <w:r>
        <w:rPr>
          <w:lang w:val="en-US"/>
        </w:rPr>
        <w:t xml:space="preserve">HD-FDD operation type B has been reinserted </w:t>
      </w:r>
      <w:r w:rsidR="002A146B">
        <w:rPr>
          <w:lang w:val="en-US"/>
        </w:rPr>
        <w:t xml:space="preserve">in the latest version </w:t>
      </w:r>
      <w:r>
        <w:rPr>
          <w:lang w:val="en-US"/>
        </w:rPr>
        <w:t>but with the note “</w:t>
      </w:r>
      <w:r w:rsidRPr="00C0520D">
        <w:rPr>
          <w:i/>
          <w:iCs/>
          <w:lang w:val="en-US"/>
        </w:rPr>
        <w:t>lower priority</w:t>
      </w:r>
      <w:r w:rsidR="00CE3B71">
        <w:rPr>
          <w:i/>
          <w:iCs/>
          <w:lang w:val="en-US"/>
        </w:rPr>
        <w:t xml:space="preserve"> than Type A</w:t>
      </w:r>
      <w:r>
        <w:rPr>
          <w:lang w:val="en-US"/>
        </w:rPr>
        <w:t>”</w:t>
      </w:r>
      <w:r w:rsidR="00784E64">
        <w:rPr>
          <w:lang w:val="en-US"/>
        </w:rPr>
        <w:t>.</w:t>
      </w:r>
    </w:p>
    <w:p w14:paraId="5DDA08E6" w14:textId="18BA2EA7" w:rsidR="006B3541" w:rsidRDefault="006B3541" w:rsidP="00232E49">
      <w:pPr>
        <w:rPr>
          <w:lang w:val="en-US"/>
        </w:rPr>
      </w:pPr>
      <w:r>
        <w:rPr>
          <w:lang w:val="en-US"/>
        </w:rPr>
        <w:t xml:space="preserve">One response (see FLS2) proposed to </w:t>
      </w:r>
      <w:r w:rsidR="002A146B">
        <w:rPr>
          <w:lang w:val="en-US"/>
        </w:rPr>
        <w:t>not include the Yes/No question regarding RF savings accumulation across supported bands. Given that other responses did not express concerns with the Yes/No question</w:t>
      </w:r>
      <w:r w:rsidR="00C14F6A">
        <w:rPr>
          <w:lang w:val="en-US"/>
        </w:rPr>
        <w:t xml:space="preserve"> which was requested in one response in the first round (see FLS1)</w:t>
      </w:r>
      <w:r w:rsidR="002A146B">
        <w:rPr>
          <w:lang w:val="en-US"/>
        </w:rPr>
        <w:t xml:space="preserve">, </w:t>
      </w:r>
      <w:r w:rsidR="00D36D01">
        <w:rPr>
          <w:lang w:val="en-US"/>
        </w:rPr>
        <w:t>it</w:t>
      </w:r>
      <w:r w:rsidR="002A146B">
        <w:rPr>
          <w:lang w:val="en-US"/>
        </w:rPr>
        <w:t xml:space="preserve"> is kept in the latest version.</w:t>
      </w:r>
    </w:p>
    <w:p w14:paraId="399C88F2" w14:textId="7A135CFD" w:rsidR="00A65AFB" w:rsidRDefault="00A65AFB" w:rsidP="00232E49">
      <w:pPr>
        <w:rPr>
          <w:lang w:val="en-US"/>
        </w:rPr>
      </w:pPr>
      <w:r>
        <w:rPr>
          <w:lang w:val="en-US"/>
        </w:rPr>
        <w:lastRenderedPageBreak/>
        <w:t>One response (see FLS2) proposed to change the name of the template to reflect that it only captures cost reduction estimates, not other impacts from the complexity reduction techniques. The FL understanding is that this is already quite clear, so no name change has been done at this point.</w:t>
      </w:r>
    </w:p>
    <w:p w14:paraId="0B5E2843" w14:textId="466427C0" w:rsidR="00232E49" w:rsidRPr="00F83615" w:rsidRDefault="00232E49" w:rsidP="00232E49">
      <w:pPr>
        <w:rPr>
          <w:b/>
          <w:bCs/>
        </w:rPr>
      </w:pPr>
      <w:r w:rsidRPr="00F83615">
        <w:rPr>
          <w:b/>
          <w:bCs/>
        </w:rPr>
        <w:t>Question 2-1</w:t>
      </w:r>
      <w:r>
        <w:rPr>
          <w:b/>
          <w:bCs/>
        </w:rPr>
        <w:t>b</w:t>
      </w:r>
      <w:r w:rsidRPr="00F83615">
        <w:rPr>
          <w:b/>
          <w:bCs/>
        </w:rPr>
        <w:t xml:space="preserve">: Can the spreadsheet be used to collect the cost reduction evaluation results for the individual cost reduction techniques? </w:t>
      </w:r>
      <w:r>
        <w:rPr>
          <w:b/>
          <w:bCs/>
        </w:rPr>
        <w:t>If not, what other aspects need to be added?</w:t>
      </w:r>
      <w:r w:rsidR="00931469">
        <w:rPr>
          <w:b/>
          <w:bCs/>
        </w:rPr>
        <w:t xml:space="preserve"> Please do not repeat earlier discussions.</w:t>
      </w:r>
    </w:p>
    <w:tbl>
      <w:tblPr>
        <w:tblStyle w:val="TableGrid"/>
        <w:tblW w:w="9634" w:type="dxa"/>
        <w:tblLook w:val="04A0" w:firstRow="1" w:lastRow="0" w:firstColumn="1" w:lastColumn="0" w:noHBand="0" w:noVBand="1"/>
      </w:tblPr>
      <w:tblGrid>
        <w:gridCol w:w="1838"/>
        <w:gridCol w:w="7796"/>
      </w:tblGrid>
      <w:tr w:rsidR="00232E49" w14:paraId="60B27570" w14:textId="77777777" w:rsidTr="0026212F">
        <w:tc>
          <w:tcPr>
            <w:tcW w:w="1838" w:type="dxa"/>
            <w:shd w:val="clear" w:color="auto" w:fill="D9D9D9" w:themeFill="background1" w:themeFillShade="D9"/>
          </w:tcPr>
          <w:p w14:paraId="363B46DE" w14:textId="77777777" w:rsidR="00232E49" w:rsidRDefault="00232E49" w:rsidP="0026212F">
            <w:pPr>
              <w:rPr>
                <w:b/>
                <w:bCs/>
              </w:rPr>
            </w:pPr>
            <w:r>
              <w:rPr>
                <w:b/>
                <w:bCs/>
              </w:rPr>
              <w:t>Company</w:t>
            </w:r>
          </w:p>
        </w:tc>
        <w:tc>
          <w:tcPr>
            <w:tcW w:w="7796" w:type="dxa"/>
            <w:shd w:val="clear" w:color="auto" w:fill="D9D9D9" w:themeFill="background1" w:themeFillShade="D9"/>
          </w:tcPr>
          <w:p w14:paraId="1B1A72CA" w14:textId="77777777" w:rsidR="00232E49" w:rsidRDefault="00232E49" w:rsidP="0026212F">
            <w:pPr>
              <w:rPr>
                <w:b/>
                <w:bCs/>
              </w:rPr>
            </w:pPr>
            <w:r>
              <w:rPr>
                <w:b/>
                <w:bCs/>
              </w:rPr>
              <w:t>Comments</w:t>
            </w:r>
          </w:p>
        </w:tc>
      </w:tr>
      <w:tr w:rsidR="00232E49" w14:paraId="1426BC30" w14:textId="77777777" w:rsidTr="0026212F">
        <w:tc>
          <w:tcPr>
            <w:tcW w:w="1838" w:type="dxa"/>
          </w:tcPr>
          <w:p w14:paraId="39504386" w14:textId="29D2CDAE" w:rsidR="00232E49" w:rsidRPr="00242F71" w:rsidRDefault="00242F71" w:rsidP="0026212F">
            <w:pPr>
              <w:rPr>
                <w:rFonts w:eastAsia="等线" w:hint="eastAsia"/>
                <w:lang w:val="en-US" w:eastAsia="zh-CN"/>
              </w:rPr>
            </w:pPr>
            <w:r>
              <w:rPr>
                <w:rFonts w:eastAsia="等线" w:hint="eastAsia"/>
                <w:lang w:val="en-US" w:eastAsia="zh-CN"/>
              </w:rPr>
              <w:t>S</w:t>
            </w:r>
            <w:r>
              <w:rPr>
                <w:rFonts w:eastAsia="等线"/>
                <w:lang w:val="en-US" w:eastAsia="zh-CN"/>
              </w:rPr>
              <w:t xml:space="preserve">amsung </w:t>
            </w:r>
          </w:p>
        </w:tc>
        <w:tc>
          <w:tcPr>
            <w:tcW w:w="7796" w:type="dxa"/>
          </w:tcPr>
          <w:p w14:paraId="573B2C7E" w14:textId="25070E67" w:rsidR="00232E49" w:rsidRPr="00242F71" w:rsidRDefault="00242F71" w:rsidP="0026212F">
            <w:pPr>
              <w:rPr>
                <w:rFonts w:eastAsia="等线" w:hint="eastAsia"/>
                <w:lang w:val="en-US" w:eastAsia="zh-CN"/>
              </w:rPr>
            </w:pPr>
            <w:r>
              <w:rPr>
                <w:rFonts w:eastAsia="等线" w:hint="eastAsia"/>
                <w:lang w:val="en-US" w:eastAsia="zh-CN"/>
              </w:rPr>
              <w:t>O</w:t>
            </w:r>
            <w:r>
              <w:rPr>
                <w:rFonts w:eastAsia="等线"/>
                <w:lang w:val="en-US" w:eastAsia="zh-CN"/>
              </w:rPr>
              <w:t>K</w:t>
            </w:r>
          </w:p>
        </w:tc>
      </w:tr>
      <w:tr w:rsidR="00232E49" w:rsidRPr="008E3AB5" w14:paraId="75F79608" w14:textId="77777777" w:rsidTr="0026212F">
        <w:tc>
          <w:tcPr>
            <w:tcW w:w="1838" w:type="dxa"/>
          </w:tcPr>
          <w:p w14:paraId="2D0E2BD2" w14:textId="0F16A36C" w:rsidR="00232E49" w:rsidRDefault="00232E49" w:rsidP="0026212F">
            <w:pPr>
              <w:rPr>
                <w:lang w:val="en-US" w:eastAsia="ko-KR"/>
              </w:rPr>
            </w:pPr>
          </w:p>
        </w:tc>
        <w:tc>
          <w:tcPr>
            <w:tcW w:w="7796" w:type="dxa"/>
          </w:tcPr>
          <w:p w14:paraId="13B3DB7A" w14:textId="4EC8F974" w:rsidR="00232E49" w:rsidRPr="008E3AB5" w:rsidRDefault="00232E49" w:rsidP="0026212F">
            <w:pPr>
              <w:rPr>
                <w:lang w:val="en-US"/>
              </w:rPr>
            </w:pPr>
          </w:p>
        </w:tc>
      </w:tr>
      <w:tr w:rsidR="00232E49" w:rsidRPr="008E3AB5" w14:paraId="6D4D4FFF" w14:textId="77777777" w:rsidTr="0026212F">
        <w:tc>
          <w:tcPr>
            <w:tcW w:w="1838" w:type="dxa"/>
          </w:tcPr>
          <w:p w14:paraId="3643B262" w14:textId="69CAF2BC" w:rsidR="00232E49" w:rsidRDefault="00232E49" w:rsidP="0026212F">
            <w:pPr>
              <w:rPr>
                <w:lang w:val="en-US" w:eastAsia="ko-KR"/>
              </w:rPr>
            </w:pPr>
          </w:p>
        </w:tc>
        <w:tc>
          <w:tcPr>
            <w:tcW w:w="7796" w:type="dxa"/>
          </w:tcPr>
          <w:p w14:paraId="5E1F2EA5" w14:textId="72881643" w:rsidR="00232E49" w:rsidRPr="008E3AB5" w:rsidRDefault="00232E49" w:rsidP="0026212F">
            <w:pPr>
              <w:rPr>
                <w:lang w:val="en-US"/>
              </w:rPr>
            </w:pPr>
          </w:p>
        </w:tc>
      </w:tr>
    </w:tbl>
    <w:p w14:paraId="54339393" w14:textId="1C2DBE12" w:rsidR="00115CF3" w:rsidRDefault="00115CF3" w:rsidP="00E24D36">
      <w:pPr>
        <w:rPr>
          <w:lang w:val="en-US"/>
        </w:rPr>
      </w:pPr>
    </w:p>
    <w:p w14:paraId="75CEF42C" w14:textId="4CFAF6F1" w:rsidR="00503D6B" w:rsidRDefault="00503D6B" w:rsidP="00503D6B">
      <w:pPr>
        <w:pStyle w:val="Heading1"/>
      </w:pPr>
      <w:bookmarkStart w:id="5" w:name="_Toc42034927"/>
      <w:bookmarkStart w:id="6" w:name="_Toc42211937"/>
      <w:bookmarkStart w:id="7" w:name="_Hlk41391803"/>
      <w:r>
        <w:t>3</w:t>
      </w:r>
      <w:r>
        <w:tab/>
        <w:t>Template for power saving evaluation</w:t>
      </w:r>
    </w:p>
    <w:p w14:paraId="40A23098" w14:textId="328ED8D2" w:rsidR="003D5C93" w:rsidRDefault="00B610A7" w:rsidP="003D5C93">
      <w:r>
        <w:rPr>
          <w:lang w:val="en-US"/>
        </w:rPr>
        <w:t>An updated draft template is provided in</w:t>
      </w:r>
      <w:hyperlink r:id="rId16" w:history="1"/>
      <w:r w:rsidRPr="004C76DB">
        <w:t xml:space="preserve"> </w:t>
      </w:r>
      <w:hyperlink r:id="rId17" w:history="1">
        <w:r>
          <w:rPr>
            <w:rStyle w:val="Hyperlink"/>
          </w:rPr>
          <w:t>RedCapPowerTemplate-v001.xlsx</w:t>
        </w:r>
      </w:hyperlink>
      <w:r w:rsidR="003A602A">
        <w:rPr>
          <w:lang w:val="en-US"/>
        </w:rPr>
        <w:t>.</w:t>
      </w:r>
      <w:r w:rsidR="003D5C93">
        <w:rPr>
          <w:lang w:val="en-US"/>
        </w:rPr>
        <w:t xml:space="preserve"> </w:t>
      </w:r>
      <w:r w:rsidR="003D5C93"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rsidR="003D5C93">
        <w:t xml:space="preserve">With these considerations in mind, three tabs were created in template as follows: </w:t>
      </w:r>
    </w:p>
    <w:p w14:paraId="292EFBDB"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0A80C2B9"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08BAF599"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076C9F84"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D302F84" w14:textId="77777777" w:rsidR="003D5C93" w:rsidRPr="004754F4" w:rsidRDefault="003D5C93" w:rsidP="003D5C93">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6C9BCD5E" w14:textId="77777777" w:rsidR="003D5C93" w:rsidRDefault="003D5C93" w:rsidP="003D5C93">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30227713" w14:textId="77777777" w:rsidR="003D5C93" w:rsidRPr="00201B8B" w:rsidRDefault="003D5C93" w:rsidP="003D5C93">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53EEB58" w14:textId="77777777" w:rsidR="003D5C93" w:rsidRPr="00201B8B" w:rsidRDefault="003D5C93" w:rsidP="003D5C93">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49D767D5" w14:textId="77777777" w:rsidR="003D5C93" w:rsidRPr="00016DAA" w:rsidRDefault="003D5C93" w:rsidP="003D5C93">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55F4FC7E" w14:textId="77777777" w:rsidR="00C14204" w:rsidRPr="002E1C7F" w:rsidRDefault="00C14204" w:rsidP="00C14204">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p w14:paraId="7C3449D2" w14:textId="77777777" w:rsidR="003D5C93" w:rsidRPr="00016DAA" w:rsidRDefault="003D5C93" w:rsidP="003D5C93">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TableGrid"/>
        <w:tblW w:w="0" w:type="auto"/>
        <w:tblLook w:val="04A0" w:firstRow="1" w:lastRow="0" w:firstColumn="1" w:lastColumn="0" w:noHBand="0" w:noVBand="1"/>
      </w:tblPr>
      <w:tblGrid>
        <w:gridCol w:w="706"/>
        <w:gridCol w:w="1010"/>
        <w:gridCol w:w="4320"/>
        <w:gridCol w:w="1260"/>
        <w:gridCol w:w="2250"/>
      </w:tblGrid>
      <w:tr w:rsidR="003D5C93" w14:paraId="6D1ED2E1" w14:textId="77777777" w:rsidTr="00AD66BA">
        <w:tc>
          <w:tcPr>
            <w:tcW w:w="695" w:type="dxa"/>
          </w:tcPr>
          <w:p w14:paraId="7D00ED01"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279138F9"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Tab(s)</w:t>
            </w:r>
          </w:p>
        </w:tc>
        <w:tc>
          <w:tcPr>
            <w:tcW w:w="4320" w:type="dxa"/>
          </w:tcPr>
          <w:p w14:paraId="09437ACF"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7CCAFC36"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123A997C" w14:textId="77777777" w:rsidR="003D5C93" w:rsidRPr="00456D6A" w:rsidRDefault="003D5C93" w:rsidP="00AD66BA">
            <w:pPr>
              <w:spacing w:after="0"/>
              <w:rPr>
                <w:rFonts w:eastAsia="Times New Roman"/>
                <w:b/>
                <w:bCs/>
                <w:lang w:val="en-US" w:eastAsia="zh-CN"/>
              </w:rPr>
            </w:pPr>
            <w:r w:rsidRPr="00456D6A">
              <w:rPr>
                <w:rFonts w:eastAsia="Times New Roman"/>
                <w:b/>
                <w:bCs/>
                <w:lang w:val="en-US" w:eastAsia="zh-CN"/>
              </w:rPr>
              <w:t>Other company inputs</w:t>
            </w:r>
          </w:p>
        </w:tc>
      </w:tr>
      <w:tr w:rsidR="003D5C93" w14:paraId="00EEF467" w14:textId="77777777" w:rsidTr="00AD66BA">
        <w:tc>
          <w:tcPr>
            <w:tcW w:w="695" w:type="dxa"/>
          </w:tcPr>
          <w:p w14:paraId="528D01B7" w14:textId="77777777" w:rsidR="003D5C93" w:rsidRDefault="003D5C93" w:rsidP="00AD66BA">
            <w:pPr>
              <w:spacing w:after="0"/>
              <w:rPr>
                <w:rFonts w:eastAsia="Times New Roman"/>
                <w:lang w:val="en-US" w:eastAsia="zh-CN"/>
              </w:rPr>
            </w:pPr>
            <w:r>
              <w:rPr>
                <w:rFonts w:eastAsia="Times New Roman"/>
                <w:lang w:val="en-US" w:eastAsia="zh-CN"/>
              </w:rPr>
              <w:t>1</w:t>
            </w:r>
          </w:p>
        </w:tc>
        <w:tc>
          <w:tcPr>
            <w:tcW w:w="1010" w:type="dxa"/>
          </w:tcPr>
          <w:p w14:paraId="0687AC9D" w14:textId="77777777" w:rsidR="003D5C93" w:rsidRDefault="003D5C93" w:rsidP="00AD66BA">
            <w:pPr>
              <w:spacing w:after="0"/>
              <w:rPr>
                <w:rFonts w:eastAsia="Times New Roman"/>
                <w:lang w:val="en-US" w:eastAsia="zh-CN"/>
              </w:rPr>
            </w:pPr>
            <w:r>
              <w:rPr>
                <w:rFonts w:eastAsia="Times New Roman"/>
                <w:lang w:val="en-US" w:eastAsia="zh-CN"/>
              </w:rPr>
              <w:t>Tab-1</w:t>
            </w:r>
          </w:p>
        </w:tc>
        <w:tc>
          <w:tcPr>
            <w:tcW w:w="4320" w:type="dxa"/>
          </w:tcPr>
          <w:p w14:paraId="1DF5C26D" w14:textId="77777777" w:rsidR="003D5C93" w:rsidRDefault="003D5C93" w:rsidP="00AD66BA">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78309CB2" w14:textId="77777777" w:rsidR="003D5C93" w:rsidRDefault="003D5C93" w:rsidP="00AD66BA">
            <w:pPr>
              <w:spacing w:after="0"/>
              <w:rPr>
                <w:rFonts w:eastAsia="Times New Roman"/>
                <w:lang w:val="en-US" w:eastAsia="zh-CN"/>
              </w:rPr>
            </w:pPr>
            <w:r>
              <w:rPr>
                <w:rFonts w:eastAsia="Times New Roman"/>
                <w:lang w:val="en-US" w:eastAsia="zh-CN"/>
              </w:rPr>
              <w:t>Vivo</w:t>
            </w:r>
          </w:p>
        </w:tc>
        <w:tc>
          <w:tcPr>
            <w:tcW w:w="2250" w:type="dxa"/>
          </w:tcPr>
          <w:p w14:paraId="7BF85557" w14:textId="77777777" w:rsidR="003D5C93" w:rsidRDefault="003D5C93" w:rsidP="00AD66BA">
            <w:pPr>
              <w:spacing w:after="0"/>
              <w:rPr>
                <w:rFonts w:eastAsia="Times New Roman"/>
                <w:lang w:val="en-US" w:eastAsia="zh-CN"/>
              </w:rPr>
            </w:pPr>
            <w:r>
              <w:rPr>
                <w:rFonts w:eastAsia="Times New Roman"/>
                <w:lang w:val="en-US" w:eastAsia="zh-CN"/>
              </w:rPr>
              <w:t>No: OPPO (leave companies to report)</w:t>
            </w:r>
          </w:p>
        </w:tc>
      </w:tr>
      <w:tr w:rsidR="003D5C93" w14:paraId="1EDD6C2A" w14:textId="77777777" w:rsidTr="00AD66BA">
        <w:tc>
          <w:tcPr>
            <w:tcW w:w="695" w:type="dxa"/>
          </w:tcPr>
          <w:p w14:paraId="6A22C864" w14:textId="77777777" w:rsidR="003D5C93" w:rsidRDefault="003D5C93" w:rsidP="00AD66BA">
            <w:pPr>
              <w:spacing w:after="0"/>
              <w:rPr>
                <w:rFonts w:eastAsia="Times New Roman"/>
                <w:lang w:val="en-US" w:eastAsia="zh-CN"/>
              </w:rPr>
            </w:pPr>
            <w:r>
              <w:rPr>
                <w:rFonts w:eastAsia="Times New Roman"/>
                <w:lang w:val="en-US" w:eastAsia="zh-CN"/>
              </w:rPr>
              <w:t>2</w:t>
            </w:r>
          </w:p>
        </w:tc>
        <w:tc>
          <w:tcPr>
            <w:tcW w:w="1010" w:type="dxa"/>
          </w:tcPr>
          <w:p w14:paraId="536E8E47" w14:textId="77777777" w:rsidR="003D5C93" w:rsidRDefault="003D5C93" w:rsidP="00AD66BA">
            <w:pPr>
              <w:spacing w:after="0"/>
              <w:rPr>
                <w:rFonts w:eastAsia="Times New Roman"/>
                <w:lang w:val="en-US" w:eastAsia="zh-CN"/>
              </w:rPr>
            </w:pPr>
            <w:r>
              <w:rPr>
                <w:rFonts w:eastAsia="Times New Roman"/>
                <w:lang w:val="en-US" w:eastAsia="zh-CN"/>
              </w:rPr>
              <w:t>Tab-1</w:t>
            </w:r>
          </w:p>
        </w:tc>
        <w:tc>
          <w:tcPr>
            <w:tcW w:w="4320" w:type="dxa"/>
          </w:tcPr>
          <w:p w14:paraId="535518F3" w14:textId="77777777" w:rsidR="003D5C93" w:rsidRDefault="003D5C93" w:rsidP="00AD66BA">
            <w:pPr>
              <w:spacing w:after="0"/>
              <w:rPr>
                <w:rFonts w:eastAsia="Times New Roman"/>
                <w:lang w:val="en-US" w:eastAsia="zh-CN"/>
              </w:rPr>
            </w:pPr>
            <w:r>
              <w:rPr>
                <w:rFonts w:eastAsia="Times New Roman"/>
                <w:lang w:val="en-US" w:eastAsia="zh-CN"/>
              </w:rPr>
              <w:t>Align the DCI format size with 40 bits</w:t>
            </w:r>
          </w:p>
        </w:tc>
        <w:tc>
          <w:tcPr>
            <w:tcW w:w="1260" w:type="dxa"/>
          </w:tcPr>
          <w:p w14:paraId="02AB1658" w14:textId="77777777" w:rsidR="003D5C93" w:rsidRDefault="003D5C93" w:rsidP="00AD66BA">
            <w:pPr>
              <w:spacing w:after="0"/>
              <w:rPr>
                <w:rFonts w:eastAsia="Times New Roman"/>
                <w:lang w:val="en-US" w:eastAsia="zh-CN"/>
              </w:rPr>
            </w:pPr>
            <w:r>
              <w:rPr>
                <w:rFonts w:eastAsia="Times New Roman"/>
                <w:lang w:val="en-US" w:eastAsia="zh-CN"/>
              </w:rPr>
              <w:t>Intel</w:t>
            </w:r>
          </w:p>
        </w:tc>
        <w:tc>
          <w:tcPr>
            <w:tcW w:w="2250" w:type="dxa"/>
          </w:tcPr>
          <w:p w14:paraId="7884EF4E" w14:textId="77777777" w:rsidR="003D5C93" w:rsidRDefault="003D5C93" w:rsidP="00AD66BA">
            <w:pPr>
              <w:spacing w:after="0"/>
              <w:rPr>
                <w:rFonts w:eastAsia="Times New Roman"/>
                <w:lang w:val="en-US" w:eastAsia="zh-CN"/>
              </w:rPr>
            </w:pPr>
          </w:p>
        </w:tc>
      </w:tr>
      <w:tr w:rsidR="003D5C93" w14:paraId="4A5F0CE2" w14:textId="77777777" w:rsidTr="00AD66BA">
        <w:tc>
          <w:tcPr>
            <w:tcW w:w="695" w:type="dxa"/>
          </w:tcPr>
          <w:p w14:paraId="2F8B5629" w14:textId="77777777" w:rsidR="003D5C93" w:rsidRDefault="003D5C93" w:rsidP="00AD66BA">
            <w:pPr>
              <w:spacing w:after="0"/>
              <w:rPr>
                <w:rFonts w:eastAsia="Times New Roman"/>
                <w:lang w:val="en-US" w:eastAsia="zh-CN"/>
              </w:rPr>
            </w:pPr>
            <w:r>
              <w:rPr>
                <w:rFonts w:eastAsia="Times New Roman"/>
                <w:lang w:val="en-US" w:eastAsia="zh-CN"/>
              </w:rPr>
              <w:t>3</w:t>
            </w:r>
          </w:p>
        </w:tc>
        <w:tc>
          <w:tcPr>
            <w:tcW w:w="1010" w:type="dxa"/>
          </w:tcPr>
          <w:p w14:paraId="0F7520A4" w14:textId="77777777" w:rsidR="003D5C93" w:rsidRDefault="003D5C93" w:rsidP="00AD66BA">
            <w:pPr>
              <w:spacing w:after="0"/>
              <w:rPr>
                <w:rFonts w:eastAsia="Times New Roman"/>
                <w:lang w:val="en-US" w:eastAsia="zh-CN"/>
              </w:rPr>
            </w:pPr>
            <w:r>
              <w:rPr>
                <w:rFonts w:eastAsia="Times New Roman"/>
                <w:lang w:val="en-US" w:eastAsia="zh-CN"/>
              </w:rPr>
              <w:t>Tab-1</w:t>
            </w:r>
          </w:p>
        </w:tc>
        <w:tc>
          <w:tcPr>
            <w:tcW w:w="4320" w:type="dxa"/>
          </w:tcPr>
          <w:p w14:paraId="1B71DA78" w14:textId="77777777" w:rsidR="003D5C93" w:rsidRDefault="003D5C93" w:rsidP="00AD66BA">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79D6EB7B" w14:textId="77777777" w:rsidR="003D5C93" w:rsidRDefault="003D5C93" w:rsidP="00AD66BA">
            <w:pPr>
              <w:spacing w:after="0"/>
              <w:rPr>
                <w:rFonts w:eastAsia="Times New Roman"/>
                <w:lang w:val="en-US" w:eastAsia="zh-CN"/>
              </w:rPr>
            </w:pPr>
            <w:r>
              <w:rPr>
                <w:rFonts w:eastAsia="Times New Roman"/>
                <w:lang w:val="en-US" w:eastAsia="zh-CN"/>
              </w:rPr>
              <w:t>Intel</w:t>
            </w:r>
          </w:p>
        </w:tc>
        <w:tc>
          <w:tcPr>
            <w:tcW w:w="2250" w:type="dxa"/>
          </w:tcPr>
          <w:p w14:paraId="4514CF3C" w14:textId="77777777" w:rsidR="003D5C93" w:rsidRDefault="003D5C93" w:rsidP="00AD66BA">
            <w:pPr>
              <w:spacing w:after="0"/>
              <w:rPr>
                <w:rFonts w:eastAsia="Times New Roman"/>
                <w:lang w:val="en-US" w:eastAsia="zh-CN"/>
              </w:rPr>
            </w:pPr>
          </w:p>
        </w:tc>
      </w:tr>
      <w:tr w:rsidR="003D5C93" w14:paraId="5B69DA94" w14:textId="77777777" w:rsidTr="00AD66BA">
        <w:tc>
          <w:tcPr>
            <w:tcW w:w="695" w:type="dxa"/>
          </w:tcPr>
          <w:p w14:paraId="3B7E1D02" w14:textId="77777777" w:rsidR="003D5C93" w:rsidRDefault="003D5C93" w:rsidP="00AD66BA">
            <w:pPr>
              <w:spacing w:after="0"/>
              <w:rPr>
                <w:rFonts w:eastAsia="Times New Roman"/>
                <w:lang w:val="en-US" w:eastAsia="zh-CN"/>
              </w:rPr>
            </w:pPr>
            <w:r>
              <w:rPr>
                <w:rFonts w:eastAsia="Times New Roman"/>
                <w:lang w:val="en-US" w:eastAsia="zh-CN"/>
              </w:rPr>
              <w:lastRenderedPageBreak/>
              <w:t>4</w:t>
            </w:r>
          </w:p>
        </w:tc>
        <w:tc>
          <w:tcPr>
            <w:tcW w:w="1010" w:type="dxa"/>
          </w:tcPr>
          <w:p w14:paraId="702BA692"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55A22EDE" w14:textId="77777777" w:rsidR="003D5C93" w:rsidRDefault="003D5C93" w:rsidP="00AD66BA">
            <w:pPr>
              <w:spacing w:after="0"/>
              <w:rPr>
                <w:rFonts w:eastAsia="Times New Roman"/>
                <w:lang w:val="en-US" w:eastAsia="zh-CN"/>
              </w:rPr>
            </w:pPr>
            <w:r>
              <w:rPr>
                <w:rFonts w:eastAsia="Times New Roman"/>
                <w:lang w:val="en-US" w:eastAsia="zh-CN"/>
              </w:rPr>
              <w:t>Adding PUCCH/PUSCH power consumption</w:t>
            </w:r>
          </w:p>
        </w:tc>
        <w:tc>
          <w:tcPr>
            <w:tcW w:w="1260" w:type="dxa"/>
          </w:tcPr>
          <w:p w14:paraId="49ECCFFE" w14:textId="77777777" w:rsidR="003D5C93" w:rsidRDefault="003D5C93" w:rsidP="00AD66BA">
            <w:pPr>
              <w:spacing w:after="0"/>
              <w:rPr>
                <w:rFonts w:eastAsia="Times New Roman"/>
                <w:lang w:val="en-US" w:eastAsia="zh-CN"/>
              </w:rPr>
            </w:pPr>
            <w:r>
              <w:rPr>
                <w:rFonts w:eastAsia="Times New Roman"/>
                <w:lang w:val="en-US" w:eastAsia="zh-CN"/>
              </w:rPr>
              <w:t>Ericsson</w:t>
            </w:r>
          </w:p>
        </w:tc>
        <w:tc>
          <w:tcPr>
            <w:tcW w:w="2250" w:type="dxa"/>
          </w:tcPr>
          <w:p w14:paraId="1CF418D8" w14:textId="77777777" w:rsidR="003D5C93" w:rsidRDefault="003D5C93" w:rsidP="00AD66BA">
            <w:pPr>
              <w:spacing w:after="0"/>
              <w:rPr>
                <w:rFonts w:eastAsia="Times New Roman"/>
                <w:lang w:val="en-US" w:eastAsia="zh-CN"/>
              </w:rPr>
            </w:pPr>
            <w:r>
              <w:rPr>
                <w:rFonts w:eastAsia="Times New Roman"/>
                <w:lang w:val="en-US" w:eastAsia="zh-CN"/>
              </w:rPr>
              <w:t>OPPO/ZTE (Partially yes, no need to add PUSCH)</w:t>
            </w:r>
          </w:p>
        </w:tc>
      </w:tr>
      <w:tr w:rsidR="003D5C93" w14:paraId="3FD0AAF3" w14:textId="77777777" w:rsidTr="00AD66BA">
        <w:tc>
          <w:tcPr>
            <w:tcW w:w="695" w:type="dxa"/>
          </w:tcPr>
          <w:p w14:paraId="06F33DE1" w14:textId="77777777" w:rsidR="003D5C93" w:rsidRDefault="003D5C93" w:rsidP="00AD66BA">
            <w:pPr>
              <w:spacing w:after="0"/>
              <w:rPr>
                <w:rFonts w:eastAsia="Times New Roman"/>
                <w:lang w:val="en-US" w:eastAsia="zh-CN"/>
              </w:rPr>
            </w:pPr>
            <w:r>
              <w:rPr>
                <w:rFonts w:eastAsia="Times New Roman"/>
                <w:lang w:val="en-US" w:eastAsia="zh-CN"/>
              </w:rPr>
              <w:t>5</w:t>
            </w:r>
          </w:p>
        </w:tc>
        <w:tc>
          <w:tcPr>
            <w:tcW w:w="1010" w:type="dxa"/>
          </w:tcPr>
          <w:p w14:paraId="3C99999C"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6BA6CA57" w14:textId="77777777" w:rsidR="003D5C93" w:rsidRDefault="003D5C93" w:rsidP="00AD66BA">
            <w:pPr>
              <w:spacing w:after="0"/>
              <w:rPr>
                <w:rFonts w:eastAsia="Times New Roman"/>
                <w:lang w:val="en-US" w:eastAsia="zh-CN"/>
              </w:rPr>
            </w:pPr>
            <w:r>
              <w:rPr>
                <w:rFonts w:eastAsia="Times New Roman"/>
                <w:lang w:val="en-US" w:eastAsia="zh-CN"/>
              </w:rPr>
              <w:t xml:space="preserve">Modifying the ‘PDCCH+PDSCH’ power consumption model as follows: </w:t>
            </w:r>
          </w:p>
          <w:p w14:paraId="78AD4F2F" w14:textId="77777777" w:rsidR="003D5C93" w:rsidRPr="006472E1" w:rsidRDefault="003D5C93" w:rsidP="00AD66BA">
            <w:pPr>
              <w:pStyle w:val="EQ"/>
              <w:rPr>
                <w:rFonts w:eastAsia="宋体"/>
                <w:lang w:val="en-US" w:eastAsia="zh-CN"/>
              </w:rPr>
            </w:pPr>
            <w:r>
              <w:t>P(</w:t>
            </w:r>
            <w:r>
              <w:rPr>
                <w:rFonts w:eastAsia="宋体"/>
                <w:lang w:val="en-US" w:eastAsia="zh-CN"/>
              </w:rPr>
              <w:t>X</w:t>
            </w:r>
            <w:r>
              <w:t xml:space="preserve">) = </w:t>
            </w:r>
            <w:r>
              <w:rPr>
                <w:rFonts w:eastAsia="宋体"/>
              </w:rPr>
              <w:t>(1-</w:t>
            </w:r>
            <w:r>
              <w:rPr>
                <w:rFonts w:eastAsia="宋体"/>
                <w:i/>
                <w:iCs/>
              </w:rPr>
              <w:t>a</w:t>
            </w:r>
            <w:r>
              <w:rPr>
                <w:rFonts w:eastAsia="宋体"/>
              </w:rPr>
              <w:t>)</w:t>
            </w:r>
            <w:r>
              <w:t>P</w:t>
            </w:r>
            <w:r>
              <w:rPr>
                <w:vertAlign w:val="subscript"/>
              </w:rPr>
              <w:t>PDCCH+PDSCH</w:t>
            </w:r>
            <w:r>
              <w:rPr>
                <w:rFonts w:eastAsia="宋体"/>
              </w:rPr>
              <w:t>+</w:t>
            </w:r>
            <w:r>
              <w:rPr>
                <w:rFonts w:eastAsia="宋体"/>
                <w:i/>
                <w:iCs/>
              </w:rPr>
              <w:t>a</w:t>
            </w:r>
            <w:r>
              <w:rPr>
                <w:rFonts w:eastAsia="宋体"/>
              </w:rPr>
              <w:t>*</w:t>
            </w:r>
            <w:r>
              <w:t>P</w:t>
            </w:r>
            <w:r>
              <w:rPr>
                <w:vertAlign w:val="subscript"/>
              </w:rPr>
              <w:t>PDCCH+PDSCH</w:t>
            </w:r>
            <w:r>
              <w:rPr>
                <w:rFonts w:eastAsia="宋体"/>
              </w:rPr>
              <w:t>*X</w:t>
            </w:r>
          </w:p>
        </w:tc>
        <w:tc>
          <w:tcPr>
            <w:tcW w:w="1260" w:type="dxa"/>
          </w:tcPr>
          <w:p w14:paraId="2BC3A75A" w14:textId="77777777" w:rsidR="003D5C93" w:rsidRDefault="003D5C93" w:rsidP="00AD66BA">
            <w:pPr>
              <w:spacing w:after="0"/>
              <w:rPr>
                <w:rFonts w:eastAsia="Times New Roman"/>
                <w:lang w:val="en-US" w:eastAsia="zh-CN"/>
              </w:rPr>
            </w:pPr>
            <w:r>
              <w:rPr>
                <w:rFonts w:eastAsia="Times New Roman"/>
                <w:lang w:val="en-US" w:eastAsia="zh-CN"/>
              </w:rPr>
              <w:t>ZTE</w:t>
            </w:r>
          </w:p>
        </w:tc>
        <w:tc>
          <w:tcPr>
            <w:tcW w:w="2250" w:type="dxa"/>
          </w:tcPr>
          <w:p w14:paraId="0BF7E31E" w14:textId="77777777" w:rsidR="003D5C93" w:rsidRDefault="003D5C93" w:rsidP="00AD66BA">
            <w:pPr>
              <w:spacing w:after="0"/>
              <w:rPr>
                <w:rFonts w:eastAsia="Times New Roman"/>
                <w:lang w:val="en-US" w:eastAsia="zh-CN"/>
              </w:rPr>
            </w:pPr>
          </w:p>
        </w:tc>
      </w:tr>
      <w:tr w:rsidR="003D5C93" w14:paraId="086555DE" w14:textId="77777777" w:rsidTr="00AD66BA">
        <w:tc>
          <w:tcPr>
            <w:tcW w:w="695" w:type="dxa"/>
          </w:tcPr>
          <w:p w14:paraId="433AF6D5" w14:textId="77777777" w:rsidR="003D5C93" w:rsidRDefault="003D5C93" w:rsidP="00AD66BA">
            <w:pPr>
              <w:spacing w:after="0"/>
              <w:rPr>
                <w:rFonts w:eastAsia="Times New Roman"/>
                <w:lang w:val="en-US" w:eastAsia="zh-CN"/>
              </w:rPr>
            </w:pPr>
            <w:r>
              <w:rPr>
                <w:rFonts w:eastAsia="Times New Roman"/>
                <w:lang w:val="en-US" w:eastAsia="zh-CN"/>
              </w:rPr>
              <w:t>6</w:t>
            </w:r>
          </w:p>
        </w:tc>
        <w:tc>
          <w:tcPr>
            <w:tcW w:w="1010" w:type="dxa"/>
          </w:tcPr>
          <w:p w14:paraId="481C18F4"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78F61EBB" w14:textId="77777777" w:rsidR="003D5C93" w:rsidRDefault="003D5C93" w:rsidP="00AD66BA">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1505E0D3" w14:textId="77777777" w:rsidR="003D5C93" w:rsidRDefault="003D5C93" w:rsidP="00AD66BA">
            <w:pPr>
              <w:spacing w:after="0"/>
              <w:rPr>
                <w:rFonts w:eastAsia="Times New Roman"/>
                <w:lang w:val="en-US" w:eastAsia="zh-CN"/>
              </w:rPr>
            </w:pPr>
            <w:r>
              <w:rPr>
                <w:rFonts w:eastAsia="Times New Roman"/>
                <w:lang w:val="en-US" w:eastAsia="zh-CN"/>
              </w:rPr>
              <w:t>ZTE</w:t>
            </w:r>
          </w:p>
        </w:tc>
        <w:tc>
          <w:tcPr>
            <w:tcW w:w="2250" w:type="dxa"/>
          </w:tcPr>
          <w:p w14:paraId="1D8EBFEB" w14:textId="77777777" w:rsidR="003D5C93" w:rsidRDefault="003D5C93" w:rsidP="00AD66BA">
            <w:pPr>
              <w:spacing w:after="0"/>
              <w:rPr>
                <w:rFonts w:eastAsia="Times New Roman"/>
                <w:lang w:val="en-US" w:eastAsia="zh-CN"/>
              </w:rPr>
            </w:pPr>
          </w:p>
        </w:tc>
      </w:tr>
      <w:tr w:rsidR="003D5C93" w14:paraId="1C6142F8" w14:textId="77777777" w:rsidTr="00AD66BA">
        <w:tc>
          <w:tcPr>
            <w:tcW w:w="695" w:type="dxa"/>
          </w:tcPr>
          <w:p w14:paraId="329BE1AB" w14:textId="77777777" w:rsidR="003D5C93" w:rsidRDefault="003D5C93" w:rsidP="00AD66BA">
            <w:pPr>
              <w:spacing w:after="0"/>
              <w:rPr>
                <w:rFonts w:eastAsia="Times New Roman"/>
                <w:lang w:val="en-US" w:eastAsia="zh-CN"/>
              </w:rPr>
            </w:pPr>
            <w:r>
              <w:rPr>
                <w:rFonts w:eastAsia="Times New Roman"/>
                <w:lang w:val="en-US" w:eastAsia="zh-CN"/>
              </w:rPr>
              <w:t>7</w:t>
            </w:r>
          </w:p>
        </w:tc>
        <w:tc>
          <w:tcPr>
            <w:tcW w:w="1010" w:type="dxa"/>
          </w:tcPr>
          <w:p w14:paraId="212D238E"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5BB9CE88" w14:textId="77777777" w:rsidR="003D5C93" w:rsidRDefault="003D5C93" w:rsidP="00AD66BA">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02353058" w14:textId="77777777" w:rsidR="003D5C93" w:rsidRDefault="003D5C93" w:rsidP="00AD66BA">
            <w:pPr>
              <w:spacing w:after="0"/>
              <w:rPr>
                <w:rFonts w:eastAsia="Times New Roman"/>
                <w:lang w:val="en-US" w:eastAsia="zh-CN"/>
              </w:rPr>
            </w:pPr>
            <w:r>
              <w:rPr>
                <w:rFonts w:eastAsia="Times New Roman"/>
                <w:lang w:val="en-US" w:eastAsia="zh-CN"/>
              </w:rPr>
              <w:t>Intel</w:t>
            </w:r>
          </w:p>
        </w:tc>
        <w:tc>
          <w:tcPr>
            <w:tcW w:w="2250" w:type="dxa"/>
          </w:tcPr>
          <w:p w14:paraId="4D8C59E3" w14:textId="77777777" w:rsidR="003D5C93" w:rsidRDefault="003D5C93" w:rsidP="00AD66BA">
            <w:pPr>
              <w:spacing w:after="0"/>
              <w:rPr>
                <w:rFonts w:eastAsia="Times New Roman"/>
                <w:lang w:val="en-US" w:eastAsia="zh-CN"/>
              </w:rPr>
            </w:pPr>
          </w:p>
        </w:tc>
      </w:tr>
      <w:tr w:rsidR="003D5C93" w14:paraId="0919876D" w14:textId="77777777" w:rsidTr="00AD66BA">
        <w:tc>
          <w:tcPr>
            <w:tcW w:w="695" w:type="dxa"/>
          </w:tcPr>
          <w:p w14:paraId="5A52E4FB" w14:textId="77777777" w:rsidR="003D5C93" w:rsidRDefault="003D5C93" w:rsidP="00AD66BA">
            <w:pPr>
              <w:spacing w:after="0"/>
              <w:rPr>
                <w:rFonts w:eastAsia="Times New Roman"/>
                <w:lang w:val="en-US" w:eastAsia="zh-CN"/>
              </w:rPr>
            </w:pPr>
            <w:r>
              <w:rPr>
                <w:rFonts w:eastAsia="Times New Roman"/>
                <w:lang w:val="en-US" w:eastAsia="zh-CN"/>
              </w:rPr>
              <w:t>8</w:t>
            </w:r>
          </w:p>
        </w:tc>
        <w:tc>
          <w:tcPr>
            <w:tcW w:w="1010" w:type="dxa"/>
          </w:tcPr>
          <w:p w14:paraId="39275690"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3530A2F0" w14:textId="77777777" w:rsidR="003D5C93" w:rsidRPr="004B244A" w:rsidRDefault="003D5C93" w:rsidP="00AD66BA">
            <w:pPr>
              <w:rPr>
                <w:rFonts w:eastAsia="等线"/>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等线"/>
                <w:lang w:val="en-US" w:eastAsia="zh-CN"/>
              </w:rPr>
              <w:t>the same baseline and evaluation assumptions regarding the number of DCI sizes per PDCCH candidates, number of candidates per each AL and AL distribution should be assumed for the PDCCH blocking rates in Tab</w:t>
            </w:r>
            <w:r>
              <w:rPr>
                <w:rFonts w:eastAsia="等线"/>
                <w:lang w:val="en-US" w:eastAsia="zh-CN"/>
              </w:rPr>
              <w:t>-</w:t>
            </w:r>
            <w:r w:rsidRPr="004B244A">
              <w:rPr>
                <w:rFonts w:eastAsia="等线"/>
                <w:lang w:val="en-US" w:eastAsia="zh-CN"/>
              </w:rPr>
              <w:t>7 and the power saving results in Tab-3/4/5/6.</w:t>
            </w:r>
          </w:p>
        </w:tc>
        <w:tc>
          <w:tcPr>
            <w:tcW w:w="1260" w:type="dxa"/>
          </w:tcPr>
          <w:p w14:paraId="25E795C0" w14:textId="77777777" w:rsidR="003D5C93" w:rsidRDefault="003D5C93" w:rsidP="00AD66BA">
            <w:pPr>
              <w:spacing w:after="0"/>
              <w:rPr>
                <w:rFonts w:eastAsia="Times New Roman"/>
                <w:lang w:val="en-US" w:eastAsia="zh-CN"/>
              </w:rPr>
            </w:pPr>
            <w:r>
              <w:rPr>
                <w:rFonts w:eastAsia="Times New Roman"/>
                <w:lang w:val="en-US" w:eastAsia="zh-CN"/>
              </w:rPr>
              <w:t>Huawei</w:t>
            </w:r>
          </w:p>
        </w:tc>
        <w:tc>
          <w:tcPr>
            <w:tcW w:w="2250" w:type="dxa"/>
          </w:tcPr>
          <w:p w14:paraId="4068A1F2" w14:textId="77777777" w:rsidR="003D5C93" w:rsidRDefault="003D5C93" w:rsidP="00AD66BA">
            <w:pPr>
              <w:spacing w:after="0"/>
              <w:rPr>
                <w:rFonts w:eastAsia="Times New Roman"/>
                <w:lang w:val="en-US" w:eastAsia="zh-CN"/>
              </w:rPr>
            </w:pPr>
          </w:p>
        </w:tc>
      </w:tr>
      <w:tr w:rsidR="003D5C93" w14:paraId="60F8212C" w14:textId="77777777" w:rsidTr="00AD66BA">
        <w:tc>
          <w:tcPr>
            <w:tcW w:w="695" w:type="dxa"/>
          </w:tcPr>
          <w:p w14:paraId="336D1127" w14:textId="77777777" w:rsidR="003D5C93" w:rsidRDefault="003D5C93" w:rsidP="00AD66BA">
            <w:pPr>
              <w:spacing w:after="0"/>
              <w:rPr>
                <w:rFonts w:eastAsia="Times New Roman"/>
                <w:lang w:val="en-US" w:eastAsia="zh-CN"/>
              </w:rPr>
            </w:pPr>
            <w:r>
              <w:rPr>
                <w:rFonts w:eastAsia="Times New Roman"/>
                <w:lang w:val="en-US" w:eastAsia="zh-CN"/>
              </w:rPr>
              <w:t>9</w:t>
            </w:r>
          </w:p>
        </w:tc>
        <w:tc>
          <w:tcPr>
            <w:tcW w:w="1010" w:type="dxa"/>
          </w:tcPr>
          <w:p w14:paraId="7A37D39D" w14:textId="77777777" w:rsidR="003D5C93" w:rsidRDefault="003D5C93" w:rsidP="00AD66BA">
            <w:pPr>
              <w:spacing w:after="0"/>
              <w:rPr>
                <w:rFonts w:eastAsia="Times New Roman"/>
                <w:lang w:val="en-US" w:eastAsia="zh-CN"/>
              </w:rPr>
            </w:pPr>
            <w:r>
              <w:rPr>
                <w:rFonts w:eastAsia="Times New Roman"/>
                <w:lang w:val="en-US" w:eastAsia="zh-CN"/>
              </w:rPr>
              <w:t>Tab-2</w:t>
            </w:r>
          </w:p>
        </w:tc>
        <w:tc>
          <w:tcPr>
            <w:tcW w:w="4320" w:type="dxa"/>
          </w:tcPr>
          <w:p w14:paraId="4ABE350E" w14:textId="77777777" w:rsidR="003D5C93" w:rsidRPr="004B244A" w:rsidRDefault="003D5C93" w:rsidP="00AD66BA">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7E064036" w14:textId="77777777" w:rsidR="003D5C93" w:rsidRDefault="003D5C93" w:rsidP="00AD66BA">
            <w:pPr>
              <w:spacing w:after="0"/>
              <w:rPr>
                <w:rFonts w:eastAsia="Times New Roman"/>
                <w:lang w:val="en-US" w:eastAsia="zh-CN"/>
              </w:rPr>
            </w:pPr>
            <w:r>
              <w:rPr>
                <w:rFonts w:eastAsia="Times New Roman"/>
                <w:lang w:val="en-US" w:eastAsia="zh-CN"/>
              </w:rPr>
              <w:t>Huawei</w:t>
            </w:r>
          </w:p>
        </w:tc>
        <w:tc>
          <w:tcPr>
            <w:tcW w:w="2250" w:type="dxa"/>
          </w:tcPr>
          <w:p w14:paraId="50DA478F" w14:textId="77777777" w:rsidR="003D5C93" w:rsidRDefault="003D5C93" w:rsidP="00AD66BA">
            <w:pPr>
              <w:spacing w:after="0"/>
              <w:rPr>
                <w:rFonts w:eastAsia="Times New Roman"/>
                <w:lang w:val="en-US" w:eastAsia="zh-CN"/>
              </w:rPr>
            </w:pPr>
          </w:p>
        </w:tc>
      </w:tr>
      <w:tr w:rsidR="003D5C93" w14:paraId="3DD5FB80" w14:textId="77777777" w:rsidTr="00AD66BA">
        <w:tc>
          <w:tcPr>
            <w:tcW w:w="695" w:type="dxa"/>
          </w:tcPr>
          <w:p w14:paraId="2A1D883A" w14:textId="77777777" w:rsidR="003D5C93" w:rsidRDefault="003D5C93" w:rsidP="00AD66BA">
            <w:pPr>
              <w:spacing w:after="0"/>
              <w:rPr>
                <w:rFonts w:eastAsia="Times New Roman"/>
                <w:lang w:val="en-US" w:eastAsia="zh-CN"/>
              </w:rPr>
            </w:pPr>
            <w:r>
              <w:rPr>
                <w:rFonts w:eastAsia="Times New Roman"/>
                <w:lang w:val="en-US" w:eastAsia="zh-CN"/>
              </w:rPr>
              <w:t>10</w:t>
            </w:r>
          </w:p>
        </w:tc>
        <w:tc>
          <w:tcPr>
            <w:tcW w:w="1010" w:type="dxa"/>
          </w:tcPr>
          <w:p w14:paraId="49FFDA7C" w14:textId="77777777" w:rsidR="003D5C93" w:rsidRDefault="003D5C93" w:rsidP="00AD66BA">
            <w:pPr>
              <w:spacing w:after="0"/>
              <w:rPr>
                <w:rFonts w:eastAsia="Times New Roman"/>
                <w:lang w:val="en-US" w:eastAsia="zh-CN"/>
              </w:rPr>
            </w:pPr>
            <w:r>
              <w:rPr>
                <w:rFonts w:eastAsia="Times New Roman"/>
                <w:lang w:val="en-US" w:eastAsia="zh-CN"/>
              </w:rPr>
              <w:t>Tab-3/4/5/6</w:t>
            </w:r>
          </w:p>
        </w:tc>
        <w:tc>
          <w:tcPr>
            <w:tcW w:w="4320" w:type="dxa"/>
          </w:tcPr>
          <w:p w14:paraId="776D9079" w14:textId="77777777" w:rsidR="003D5C93" w:rsidRDefault="003D5C93" w:rsidP="00AD66BA">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414C7276" w14:textId="77777777" w:rsidR="003D5C93" w:rsidRDefault="003D5C93" w:rsidP="00AD66BA">
            <w:pPr>
              <w:spacing w:after="0"/>
              <w:rPr>
                <w:rFonts w:eastAsia="Times New Roman"/>
                <w:lang w:val="en-US" w:eastAsia="zh-CN"/>
              </w:rPr>
            </w:pPr>
            <w:r>
              <w:rPr>
                <w:rFonts w:eastAsia="Times New Roman"/>
                <w:lang w:val="en-US" w:eastAsia="zh-CN"/>
              </w:rPr>
              <w:t>Ericsson</w:t>
            </w:r>
          </w:p>
        </w:tc>
        <w:tc>
          <w:tcPr>
            <w:tcW w:w="2250" w:type="dxa"/>
          </w:tcPr>
          <w:p w14:paraId="2CCFE020" w14:textId="77777777" w:rsidR="003D5C93" w:rsidRDefault="003D5C93" w:rsidP="00AD66BA">
            <w:pPr>
              <w:spacing w:after="0"/>
              <w:rPr>
                <w:rFonts w:eastAsia="Times New Roman"/>
                <w:lang w:val="en-US" w:eastAsia="zh-CN"/>
              </w:rPr>
            </w:pPr>
            <w:r>
              <w:rPr>
                <w:rFonts w:eastAsia="Times New Roman"/>
                <w:lang w:val="en-US" w:eastAsia="zh-CN"/>
              </w:rPr>
              <w:t>OPPO (Intermediate values)</w:t>
            </w:r>
          </w:p>
        </w:tc>
      </w:tr>
      <w:tr w:rsidR="003D5C93" w14:paraId="54EEA882" w14:textId="77777777" w:rsidTr="00AD66BA">
        <w:tc>
          <w:tcPr>
            <w:tcW w:w="695" w:type="dxa"/>
          </w:tcPr>
          <w:p w14:paraId="551E291A" w14:textId="77777777" w:rsidR="003D5C93" w:rsidRDefault="003D5C93" w:rsidP="00AD66BA">
            <w:pPr>
              <w:spacing w:after="0"/>
              <w:rPr>
                <w:rFonts w:eastAsia="Times New Roman"/>
                <w:lang w:val="en-US" w:eastAsia="zh-CN"/>
              </w:rPr>
            </w:pPr>
            <w:r>
              <w:rPr>
                <w:rFonts w:eastAsia="Times New Roman"/>
                <w:lang w:val="en-US" w:eastAsia="zh-CN"/>
              </w:rPr>
              <w:t>11</w:t>
            </w:r>
          </w:p>
        </w:tc>
        <w:tc>
          <w:tcPr>
            <w:tcW w:w="1010" w:type="dxa"/>
          </w:tcPr>
          <w:p w14:paraId="011BAEDA" w14:textId="77777777" w:rsidR="003D5C93" w:rsidRDefault="003D5C93" w:rsidP="00AD66BA">
            <w:pPr>
              <w:spacing w:after="0"/>
              <w:rPr>
                <w:rFonts w:eastAsia="Times New Roman"/>
                <w:lang w:val="en-US" w:eastAsia="zh-CN"/>
              </w:rPr>
            </w:pPr>
            <w:r>
              <w:rPr>
                <w:rFonts w:eastAsia="Times New Roman"/>
                <w:lang w:val="en-US" w:eastAsia="zh-CN"/>
              </w:rPr>
              <w:t>Tab-3/4/5/6</w:t>
            </w:r>
          </w:p>
        </w:tc>
        <w:tc>
          <w:tcPr>
            <w:tcW w:w="4320" w:type="dxa"/>
          </w:tcPr>
          <w:p w14:paraId="1E0FA3F5" w14:textId="77777777" w:rsidR="003D5C93" w:rsidRDefault="003D5C93" w:rsidP="00AD66BA">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5911C1C6" w14:textId="77777777" w:rsidR="003D5C93" w:rsidRDefault="003D5C93" w:rsidP="00AD66BA">
            <w:pPr>
              <w:spacing w:after="0"/>
              <w:rPr>
                <w:rFonts w:eastAsia="Times New Roman"/>
                <w:lang w:val="en-US" w:eastAsia="zh-CN"/>
              </w:rPr>
            </w:pPr>
            <w:r>
              <w:rPr>
                <w:rFonts w:eastAsia="Times New Roman"/>
                <w:lang w:val="en-US" w:eastAsia="zh-CN"/>
              </w:rPr>
              <w:t>Huawei</w:t>
            </w:r>
          </w:p>
        </w:tc>
        <w:tc>
          <w:tcPr>
            <w:tcW w:w="2250" w:type="dxa"/>
          </w:tcPr>
          <w:p w14:paraId="1943B11F" w14:textId="77777777" w:rsidR="003D5C93" w:rsidRDefault="003D5C93" w:rsidP="00AD66BA">
            <w:pPr>
              <w:spacing w:after="0"/>
              <w:rPr>
                <w:rFonts w:eastAsia="Times New Roman"/>
                <w:lang w:val="en-US" w:eastAsia="zh-CN"/>
              </w:rPr>
            </w:pPr>
          </w:p>
        </w:tc>
      </w:tr>
      <w:tr w:rsidR="003D5C93" w14:paraId="4D41F74F" w14:textId="77777777" w:rsidTr="00AD66BA">
        <w:tc>
          <w:tcPr>
            <w:tcW w:w="695" w:type="dxa"/>
          </w:tcPr>
          <w:p w14:paraId="62C3708C" w14:textId="77777777" w:rsidR="003D5C93" w:rsidRDefault="003D5C93" w:rsidP="00AD66BA">
            <w:pPr>
              <w:spacing w:after="0"/>
              <w:rPr>
                <w:rFonts w:eastAsia="Times New Roman"/>
                <w:lang w:val="en-US" w:eastAsia="zh-CN"/>
              </w:rPr>
            </w:pPr>
            <w:r>
              <w:rPr>
                <w:rFonts w:eastAsia="Times New Roman"/>
                <w:lang w:val="en-US" w:eastAsia="zh-CN"/>
              </w:rPr>
              <w:t>12</w:t>
            </w:r>
          </w:p>
        </w:tc>
        <w:tc>
          <w:tcPr>
            <w:tcW w:w="1010" w:type="dxa"/>
          </w:tcPr>
          <w:p w14:paraId="7EC18538" w14:textId="77777777" w:rsidR="003D5C93" w:rsidRDefault="003D5C93" w:rsidP="00AD66BA">
            <w:pPr>
              <w:spacing w:after="0"/>
              <w:rPr>
                <w:rFonts w:eastAsia="Times New Roman"/>
                <w:lang w:val="en-US" w:eastAsia="zh-CN"/>
              </w:rPr>
            </w:pPr>
            <w:r>
              <w:rPr>
                <w:rFonts w:eastAsia="Times New Roman"/>
                <w:lang w:val="en-US" w:eastAsia="zh-CN"/>
              </w:rPr>
              <w:t>Tab-4/6</w:t>
            </w:r>
          </w:p>
        </w:tc>
        <w:tc>
          <w:tcPr>
            <w:tcW w:w="4320" w:type="dxa"/>
          </w:tcPr>
          <w:p w14:paraId="6120B7CB" w14:textId="77777777" w:rsidR="003D5C93" w:rsidRDefault="003D5C93" w:rsidP="00AD66BA">
            <w:pPr>
              <w:spacing w:after="0"/>
              <w:rPr>
                <w:rFonts w:eastAsia="Times New Roman"/>
                <w:lang w:val="en-US" w:eastAsia="zh-CN"/>
              </w:rPr>
            </w:pPr>
            <w:r>
              <w:rPr>
                <w:rFonts w:eastAsia="Times New Roman"/>
                <w:lang w:val="en-US" w:eastAsia="zh-CN"/>
              </w:rPr>
              <w:t>Remove 50MHz BW for FR2 in Tab-4/6</w:t>
            </w:r>
          </w:p>
        </w:tc>
        <w:tc>
          <w:tcPr>
            <w:tcW w:w="1260" w:type="dxa"/>
          </w:tcPr>
          <w:p w14:paraId="3F37C9BA" w14:textId="77777777" w:rsidR="003D5C93" w:rsidRDefault="003D5C93" w:rsidP="00AD66BA">
            <w:pPr>
              <w:spacing w:after="0"/>
              <w:rPr>
                <w:rFonts w:eastAsia="Times New Roman"/>
                <w:lang w:val="en-US" w:eastAsia="zh-CN"/>
              </w:rPr>
            </w:pPr>
            <w:r>
              <w:rPr>
                <w:rFonts w:eastAsia="Times New Roman"/>
                <w:lang w:val="en-US" w:eastAsia="zh-CN"/>
              </w:rPr>
              <w:t>Samsung</w:t>
            </w:r>
          </w:p>
        </w:tc>
        <w:tc>
          <w:tcPr>
            <w:tcW w:w="2250" w:type="dxa"/>
          </w:tcPr>
          <w:p w14:paraId="5A42BC63" w14:textId="77777777" w:rsidR="003D5C93" w:rsidRDefault="003D5C93" w:rsidP="00AD66BA">
            <w:pPr>
              <w:spacing w:after="0"/>
              <w:rPr>
                <w:rFonts w:eastAsia="Times New Roman"/>
                <w:lang w:val="en-US" w:eastAsia="zh-CN"/>
              </w:rPr>
            </w:pPr>
            <w:r>
              <w:rPr>
                <w:rFonts w:eastAsia="Times New Roman"/>
                <w:lang w:val="en-US" w:eastAsia="zh-CN"/>
              </w:rPr>
              <w:t>Yes: Spreadtrum</w:t>
            </w:r>
          </w:p>
        </w:tc>
      </w:tr>
    </w:tbl>
    <w:p w14:paraId="76B96744" w14:textId="46E5CDB9" w:rsidR="003D5C93" w:rsidRDefault="003D5C93" w:rsidP="003D5C93">
      <w:pPr>
        <w:spacing w:before="120" w:after="240"/>
        <w:rPr>
          <w:rFonts w:eastAsia="Times New Roman"/>
          <w:lang w:val="en-US" w:eastAsia="zh-CN"/>
        </w:rPr>
      </w:pPr>
    </w:p>
    <w:p w14:paraId="74686ADD" w14:textId="77777777" w:rsidR="00C14204" w:rsidRPr="00FA4BE0" w:rsidRDefault="00C14204" w:rsidP="00C14204">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p w14:paraId="6293299B" w14:textId="77777777" w:rsidR="003D5C93" w:rsidRDefault="003D5C93" w:rsidP="003D5C93">
      <w:pPr>
        <w:spacing w:before="120" w:after="240"/>
        <w:rPr>
          <w:rFonts w:eastAsia="Times New Roman"/>
          <w:lang w:val="en-US" w:eastAsia="zh-CN"/>
        </w:rPr>
      </w:pPr>
      <w:r>
        <w:rPr>
          <w:rFonts w:eastAsia="Times New Roman"/>
          <w:lang w:val="en-US" w:eastAsia="zh-CN"/>
        </w:rPr>
        <w:t xml:space="preserve">Reponses from companies were summarized in the Table below: </w:t>
      </w:r>
    </w:p>
    <w:p w14:paraId="42B01638" w14:textId="77777777" w:rsidR="003D5C93" w:rsidRDefault="003D5C93" w:rsidP="003D5C93">
      <w:pPr>
        <w:spacing w:before="120" w:after="240"/>
        <w:rPr>
          <w:rFonts w:eastAsia="Times New Roman"/>
          <w:lang w:val="en-US" w:eastAsia="zh-CN"/>
        </w:rPr>
      </w:pPr>
      <w:r>
        <w:rPr>
          <w:rFonts w:eastAsia="Times New Roman"/>
          <w:noProof/>
          <w:lang w:val="en-US" w:eastAsia="zh-CN"/>
        </w:rPr>
        <w:drawing>
          <wp:inline distT="0" distB="0" distL="0" distR="0" wp14:anchorId="01B5CE92" wp14:editId="36C276F4">
            <wp:extent cx="6236340" cy="215490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294783" cy="2175096"/>
                    </a:xfrm>
                    <a:prstGeom prst="rect">
                      <a:avLst/>
                    </a:prstGeom>
                  </pic:spPr>
                </pic:pic>
              </a:graphicData>
            </a:graphic>
          </wp:inline>
        </w:drawing>
      </w:r>
    </w:p>
    <w:p w14:paraId="7851464C" w14:textId="77777777" w:rsidR="003D5C93" w:rsidRDefault="003D5C93" w:rsidP="003D5C93">
      <w:pPr>
        <w:spacing w:before="120" w:after="240"/>
        <w:rPr>
          <w:rFonts w:eastAsia="Times New Roman"/>
          <w:lang w:val="en-US" w:eastAsia="zh-CN"/>
        </w:rPr>
      </w:pPr>
      <w:r>
        <w:rPr>
          <w:rFonts w:eastAsia="Times New Roman"/>
          <w:lang w:val="en-US" w:eastAsia="zh-CN"/>
        </w:rPr>
        <w:t xml:space="preserve">It should be noted that it is always possible for companies to simulate other configurations and included the results in company contribution to discuss in RAN1 103 e-meeting. </w:t>
      </w:r>
    </w:p>
    <w:p w14:paraId="6102B749" w14:textId="5FE7AAEF" w:rsidR="003D5C93" w:rsidRDefault="003D5C93" w:rsidP="003D5C93">
      <w:pPr>
        <w:spacing w:before="120" w:after="240"/>
        <w:rPr>
          <w:rFonts w:eastAsia="Times New Roman"/>
          <w:lang w:val="en-US" w:eastAsia="zh-CN"/>
        </w:rPr>
      </w:pPr>
      <w:r>
        <w:rPr>
          <w:rFonts w:eastAsia="Times New Roman"/>
          <w:lang w:val="en-US" w:eastAsia="zh-CN"/>
        </w:rPr>
        <w:t>Based on the responses, the power saving template was updated to v001 to reflect P2, P9 and P12 based on majority views:</w:t>
      </w:r>
    </w:p>
    <w:p w14:paraId="403E5817" w14:textId="77777777" w:rsidR="003D5C93" w:rsidRPr="003D5C93" w:rsidRDefault="003D5C93" w:rsidP="003D5C93">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P2: Align the DCI format size with 40 bits (without including CRC). </w:t>
      </w:r>
    </w:p>
    <w:p w14:paraId="32C64BC3" w14:textId="77777777" w:rsidR="003D5C93" w:rsidRPr="003D5C93" w:rsidRDefault="003D5C93" w:rsidP="003D5C93">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lastRenderedPageBreak/>
        <w:t xml:space="preserve">P9: Add a note in template that companies to clarify how the BD is reduced in the ‘comment’ column in template when providing power saving gain results in Tab-3/4/5/6 </w:t>
      </w:r>
    </w:p>
    <w:p w14:paraId="7C5556C5" w14:textId="77777777" w:rsidR="003D5C93" w:rsidRPr="003D5C93" w:rsidRDefault="003D5C93" w:rsidP="003D5C93">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P12: Remove 50MHz BW for FR2 in Tab-5/6</w:t>
      </w:r>
    </w:p>
    <w:p w14:paraId="5316BE75" w14:textId="107F616B" w:rsidR="00405F8D" w:rsidRDefault="003D5C93" w:rsidP="003D5C93">
      <w:pPr>
        <w:rPr>
          <w:rFonts w:eastAsia="等线"/>
          <w:lang w:val="en-US" w:eastAsia="zh-CN"/>
        </w:rPr>
      </w:pPr>
      <w:r w:rsidRPr="00896BFF">
        <w:rPr>
          <w:rFonts w:eastAsia="Times New Roman"/>
          <w:lang w:val="en-US" w:eastAsia="zh-CN"/>
        </w:rPr>
        <w:t xml:space="preserve">One </w:t>
      </w:r>
      <w:r>
        <w:rPr>
          <w:rFonts w:eastAsia="Times New Roman"/>
          <w:lang w:val="en-US" w:eastAsia="zh-CN"/>
        </w:rPr>
        <w:t xml:space="preserve">company proposed to revise the power scaling equation: </w:t>
      </w:r>
      <w:r w:rsidRPr="00D708C6">
        <w:rPr>
          <w:rFonts w:eastAsia="等线"/>
          <w:lang w:val="en-US" w:eastAsia="zh-CN"/>
        </w:rPr>
        <w:t>P(α) = max (Micro-sleep, α ∙ Pt + (1 – α) ∙ 0.7Pt))</w:t>
      </w:r>
      <w:r>
        <w:rPr>
          <w:rFonts w:eastAsia="等线"/>
          <w:lang w:val="en-US" w:eastAsia="zh-CN"/>
        </w:rPr>
        <w:t xml:space="preserve"> with removing the cross-slot scheduling case. However, it should be noted that even in case of cross-scheduling, the power consumption is reduced in accordance to the reduced BDs, which this equation intends to capture. In any case, it is out of scope of this email thread and difficult to converge in email discussion. We can further discuss in RAN1 103 e-meeting if companies still have concerns.</w:t>
      </w:r>
    </w:p>
    <w:p w14:paraId="7B8E3EFF" w14:textId="77777777" w:rsidR="004D3873" w:rsidRPr="002E1C7F" w:rsidRDefault="004D3873" w:rsidP="004D3873">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p w14:paraId="71E1E87E" w14:textId="77777777" w:rsidR="003D5C93" w:rsidRDefault="003D5C93" w:rsidP="003D5C93">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02A12B07" w14:textId="77777777" w:rsidR="003D5C93" w:rsidRDefault="003D5C93" w:rsidP="003D5C93">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TableGrid"/>
        <w:tblW w:w="0" w:type="auto"/>
        <w:tblLook w:val="04A0" w:firstRow="1" w:lastRow="0" w:firstColumn="1" w:lastColumn="0" w:noHBand="0" w:noVBand="1"/>
      </w:tblPr>
      <w:tblGrid>
        <w:gridCol w:w="706"/>
        <w:gridCol w:w="772"/>
        <w:gridCol w:w="3150"/>
        <w:gridCol w:w="4950"/>
      </w:tblGrid>
      <w:tr w:rsidR="003D5C93" w14:paraId="523F4FD5" w14:textId="77777777" w:rsidTr="00AD66BA">
        <w:tc>
          <w:tcPr>
            <w:tcW w:w="695" w:type="dxa"/>
          </w:tcPr>
          <w:p w14:paraId="7BFC6BC1"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1DBEBE82"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Tab(s)</w:t>
            </w:r>
          </w:p>
        </w:tc>
        <w:tc>
          <w:tcPr>
            <w:tcW w:w="3150" w:type="dxa"/>
          </w:tcPr>
          <w:p w14:paraId="399F414A"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2D989956" w14:textId="77777777" w:rsidR="003D5C93" w:rsidRPr="00A8434E" w:rsidRDefault="003D5C93" w:rsidP="00AD66BA">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D5C93" w14:paraId="2F3AE7F2" w14:textId="77777777" w:rsidTr="00AD66BA">
        <w:tc>
          <w:tcPr>
            <w:tcW w:w="695" w:type="dxa"/>
          </w:tcPr>
          <w:p w14:paraId="61E6852E" w14:textId="77777777" w:rsidR="003D5C93" w:rsidRDefault="003D5C93" w:rsidP="00AD66BA">
            <w:pPr>
              <w:spacing w:after="0"/>
              <w:rPr>
                <w:rFonts w:eastAsia="Times New Roman"/>
                <w:lang w:val="en-US" w:eastAsia="zh-CN"/>
              </w:rPr>
            </w:pPr>
            <w:r>
              <w:rPr>
                <w:rFonts w:eastAsia="Times New Roman"/>
                <w:lang w:val="en-US" w:eastAsia="zh-CN"/>
              </w:rPr>
              <w:t>1</w:t>
            </w:r>
          </w:p>
        </w:tc>
        <w:tc>
          <w:tcPr>
            <w:tcW w:w="740" w:type="dxa"/>
          </w:tcPr>
          <w:p w14:paraId="639017A4" w14:textId="77777777" w:rsidR="003D5C93" w:rsidRDefault="003D5C93" w:rsidP="00AD66BA">
            <w:pPr>
              <w:spacing w:after="0"/>
              <w:rPr>
                <w:rFonts w:eastAsia="Times New Roman"/>
                <w:lang w:val="en-US" w:eastAsia="zh-CN"/>
              </w:rPr>
            </w:pPr>
            <w:r>
              <w:rPr>
                <w:rFonts w:eastAsia="Times New Roman"/>
                <w:lang w:val="en-US" w:eastAsia="zh-CN"/>
              </w:rPr>
              <w:t>Tab-7</w:t>
            </w:r>
          </w:p>
        </w:tc>
        <w:tc>
          <w:tcPr>
            <w:tcW w:w="3150" w:type="dxa"/>
          </w:tcPr>
          <w:p w14:paraId="29E7D7EE" w14:textId="77777777" w:rsidR="003D5C93" w:rsidRDefault="003D5C93" w:rsidP="00AD66BA">
            <w:pPr>
              <w:spacing w:after="0"/>
              <w:rPr>
                <w:rFonts w:eastAsia="Times New Roman"/>
                <w:lang w:val="en-US" w:eastAsia="zh-CN"/>
              </w:rPr>
            </w:pPr>
            <w:r>
              <w:rPr>
                <w:rFonts w:eastAsia="Times New Roman"/>
                <w:lang w:val="en-US" w:eastAsia="zh-CN"/>
              </w:rPr>
              <w:t xml:space="preserve">Adding note to clarify the </w:t>
            </w:r>
            <w:r>
              <w:rPr>
                <w:rFonts w:eastAsia="等线"/>
                <w:lang w:val="en-US" w:eastAsia="zh-CN"/>
              </w:rPr>
              <w:t>“</w:t>
            </w:r>
            <w:r w:rsidRPr="00467EA2">
              <w:rPr>
                <w:rFonts w:eastAsia="等线"/>
                <w:lang w:val="en-US" w:eastAsia="zh-CN"/>
              </w:rPr>
              <w:t>Number of users (e.g., 10)</w:t>
            </w:r>
            <w:r>
              <w:rPr>
                <w:rFonts w:eastAsia="等线"/>
                <w:lang w:val="en-US" w:eastAsia="zh-CN"/>
              </w:rPr>
              <w:t xml:space="preserve">” </w:t>
            </w:r>
          </w:p>
        </w:tc>
        <w:tc>
          <w:tcPr>
            <w:tcW w:w="4950" w:type="dxa"/>
          </w:tcPr>
          <w:p w14:paraId="3E5387C6" w14:textId="77777777" w:rsidR="003D5C93" w:rsidRDefault="003D5C93" w:rsidP="00AD66BA">
            <w:pPr>
              <w:spacing w:after="0"/>
              <w:rPr>
                <w:rFonts w:eastAsia="等线"/>
                <w:lang w:val="en-US" w:eastAsia="zh-CN"/>
              </w:rPr>
            </w:pPr>
            <w:r>
              <w:rPr>
                <w:rFonts w:eastAsia="Times New Roman"/>
                <w:lang w:val="en-US" w:eastAsia="zh-CN"/>
              </w:rPr>
              <w:t>Vivo: Clarify that it is</w:t>
            </w:r>
            <w:r>
              <w:rPr>
                <w:rFonts w:eastAsia="等线"/>
                <w:lang w:val="en-US" w:eastAsia="zh-CN"/>
              </w:rPr>
              <w:t xml:space="preserve"> the number of simultaneously scheduled UEs in a slot and company reports how the value is obtained, e.g. deployment scenario, traffic model, resource utilization</w:t>
            </w:r>
          </w:p>
          <w:p w14:paraId="258C8741" w14:textId="77777777" w:rsidR="003D5C93" w:rsidRDefault="003D5C93" w:rsidP="00AD66BA">
            <w:pPr>
              <w:spacing w:after="0"/>
              <w:rPr>
                <w:rFonts w:eastAsia="等线"/>
                <w:lang w:val="en-US" w:eastAsia="zh-CN"/>
              </w:rPr>
            </w:pPr>
          </w:p>
          <w:p w14:paraId="1B2D97AA" w14:textId="77777777" w:rsidR="003D5C93" w:rsidRDefault="003D5C93" w:rsidP="00AD66BA">
            <w:pPr>
              <w:spacing w:after="0"/>
              <w:rPr>
                <w:rFonts w:eastAsia="等线"/>
                <w:lang w:val="en-US" w:eastAsia="zh-CN"/>
              </w:rPr>
            </w:pPr>
            <w:r>
              <w:rPr>
                <w:rFonts w:eastAsia="等线"/>
                <w:lang w:val="en-US" w:eastAsia="zh-CN"/>
              </w:rPr>
              <w:t>OPPO: Clarify either “number of simultaneously scheduled UEs in a slot” or “</w:t>
            </w:r>
            <w:r>
              <w:rPr>
                <w:lang w:val="en-US"/>
              </w:rPr>
              <w:t>the system schedules the band with x user and the scheduling of user is based on the traffic models</w:t>
            </w:r>
            <w:r>
              <w:rPr>
                <w:rFonts w:eastAsia="等线"/>
                <w:lang w:val="en-US" w:eastAsia="zh-CN"/>
              </w:rPr>
              <w:t>”</w:t>
            </w:r>
          </w:p>
          <w:p w14:paraId="3F202070" w14:textId="77777777" w:rsidR="003D5C93" w:rsidRDefault="003D5C93" w:rsidP="00AD66BA">
            <w:pPr>
              <w:spacing w:after="0"/>
              <w:rPr>
                <w:rFonts w:eastAsia="Times New Roman"/>
                <w:lang w:val="en-US" w:eastAsia="zh-CN"/>
              </w:rPr>
            </w:pPr>
          </w:p>
          <w:p w14:paraId="4E892DB2" w14:textId="77777777" w:rsidR="003D5C93" w:rsidRDefault="003D5C93" w:rsidP="00AD66BA">
            <w:pPr>
              <w:spacing w:after="0"/>
              <w:rPr>
                <w:rFonts w:eastAsia="Times New Roman"/>
                <w:lang w:val="en-US" w:eastAsia="zh-CN"/>
              </w:rPr>
            </w:pPr>
            <w:r>
              <w:rPr>
                <w:rFonts w:eastAsia="Times New Roman"/>
                <w:lang w:val="en-US" w:eastAsia="zh-CN"/>
              </w:rPr>
              <w:t xml:space="preserve">Samsung/Futurewei: A range of values e.g. 1-10 and left it for company report. </w:t>
            </w:r>
          </w:p>
          <w:p w14:paraId="7FAAEAAA" w14:textId="77777777" w:rsidR="003D5C93" w:rsidRDefault="003D5C93" w:rsidP="00AD66BA">
            <w:pPr>
              <w:spacing w:after="0"/>
              <w:rPr>
                <w:rFonts w:eastAsia="Times New Roman"/>
                <w:lang w:val="en-US" w:eastAsia="zh-CN"/>
              </w:rPr>
            </w:pPr>
          </w:p>
          <w:p w14:paraId="5AF97644" w14:textId="77777777" w:rsidR="003D5C93" w:rsidRDefault="003D5C93" w:rsidP="00AD66BA">
            <w:pPr>
              <w:spacing w:after="0"/>
              <w:rPr>
                <w:rFonts w:eastAsia="Times New Roman"/>
                <w:lang w:val="en-US" w:eastAsia="zh-CN"/>
              </w:rPr>
            </w:pPr>
            <w:r>
              <w:rPr>
                <w:rFonts w:eastAsia="Times New Roman"/>
                <w:lang w:val="en-US" w:eastAsia="zh-CN"/>
              </w:rPr>
              <w:t>ZTE: Not use SLS here.</w:t>
            </w:r>
          </w:p>
        </w:tc>
      </w:tr>
      <w:tr w:rsidR="003D5C93" w14:paraId="7365B2BB" w14:textId="77777777" w:rsidTr="00AD66BA">
        <w:tc>
          <w:tcPr>
            <w:tcW w:w="695" w:type="dxa"/>
          </w:tcPr>
          <w:p w14:paraId="01E0EF35" w14:textId="77777777" w:rsidR="003D5C93" w:rsidRDefault="003D5C93" w:rsidP="00AD66BA">
            <w:pPr>
              <w:spacing w:after="0"/>
              <w:rPr>
                <w:rFonts w:eastAsia="Times New Roman"/>
                <w:lang w:val="en-US" w:eastAsia="zh-CN"/>
              </w:rPr>
            </w:pPr>
            <w:r>
              <w:rPr>
                <w:rFonts w:eastAsia="Times New Roman"/>
                <w:lang w:val="en-US" w:eastAsia="zh-CN"/>
              </w:rPr>
              <w:t>2</w:t>
            </w:r>
          </w:p>
        </w:tc>
        <w:tc>
          <w:tcPr>
            <w:tcW w:w="740" w:type="dxa"/>
          </w:tcPr>
          <w:p w14:paraId="2D4571E3" w14:textId="77777777" w:rsidR="003D5C93" w:rsidRDefault="003D5C93" w:rsidP="00AD66BA">
            <w:pPr>
              <w:spacing w:after="0"/>
              <w:rPr>
                <w:rFonts w:eastAsia="Times New Roman"/>
                <w:lang w:val="en-US" w:eastAsia="zh-CN"/>
              </w:rPr>
            </w:pPr>
            <w:r>
              <w:rPr>
                <w:rFonts w:eastAsia="Times New Roman"/>
                <w:lang w:val="en-US" w:eastAsia="zh-CN"/>
              </w:rPr>
              <w:t>Tab-7</w:t>
            </w:r>
          </w:p>
        </w:tc>
        <w:tc>
          <w:tcPr>
            <w:tcW w:w="3150" w:type="dxa"/>
          </w:tcPr>
          <w:p w14:paraId="5C2EDCB2" w14:textId="77777777" w:rsidR="003D5C93" w:rsidRDefault="003D5C93" w:rsidP="00AD66BA">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0CD5713C" w14:textId="77777777" w:rsidR="003D5C93" w:rsidRDefault="003D5C93" w:rsidP="00AD66BA">
            <w:pPr>
              <w:spacing w:after="0"/>
              <w:rPr>
                <w:rFonts w:eastAsia="Times New Roman"/>
                <w:lang w:val="en-US" w:eastAsia="zh-CN"/>
              </w:rPr>
            </w:pPr>
            <w:r>
              <w:rPr>
                <w:rFonts w:eastAsia="Times New Roman"/>
                <w:lang w:val="en-US" w:eastAsia="zh-CN"/>
              </w:rPr>
              <w:t>Huawei</w:t>
            </w:r>
          </w:p>
        </w:tc>
      </w:tr>
      <w:tr w:rsidR="003D5C93" w14:paraId="76584437" w14:textId="77777777" w:rsidTr="00AD66BA">
        <w:tc>
          <w:tcPr>
            <w:tcW w:w="695" w:type="dxa"/>
          </w:tcPr>
          <w:p w14:paraId="1F86A905" w14:textId="77777777" w:rsidR="003D5C93" w:rsidRDefault="003D5C93" w:rsidP="00AD66BA">
            <w:pPr>
              <w:spacing w:after="0"/>
              <w:rPr>
                <w:rFonts w:eastAsia="Times New Roman"/>
                <w:lang w:val="en-US" w:eastAsia="zh-CN"/>
              </w:rPr>
            </w:pPr>
            <w:r>
              <w:rPr>
                <w:rFonts w:eastAsia="Times New Roman"/>
                <w:lang w:val="en-US" w:eastAsia="zh-CN"/>
              </w:rPr>
              <w:t>3</w:t>
            </w:r>
          </w:p>
        </w:tc>
        <w:tc>
          <w:tcPr>
            <w:tcW w:w="740" w:type="dxa"/>
          </w:tcPr>
          <w:p w14:paraId="0C0EECAD" w14:textId="77777777" w:rsidR="003D5C93" w:rsidRDefault="003D5C93" w:rsidP="00AD66BA">
            <w:pPr>
              <w:spacing w:after="0"/>
              <w:rPr>
                <w:rFonts w:eastAsia="Times New Roman"/>
                <w:lang w:val="en-US" w:eastAsia="zh-CN"/>
              </w:rPr>
            </w:pPr>
            <w:r>
              <w:rPr>
                <w:rFonts w:eastAsia="Times New Roman"/>
                <w:lang w:val="en-US" w:eastAsia="zh-CN"/>
              </w:rPr>
              <w:t>Tab-7</w:t>
            </w:r>
          </w:p>
        </w:tc>
        <w:tc>
          <w:tcPr>
            <w:tcW w:w="3150" w:type="dxa"/>
          </w:tcPr>
          <w:p w14:paraId="339A63BE" w14:textId="77777777" w:rsidR="003D5C93" w:rsidRDefault="003D5C93" w:rsidP="00AD66BA">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44F14105" w14:textId="77777777" w:rsidR="003D5C93" w:rsidRDefault="003D5C93" w:rsidP="00AD66BA">
            <w:pPr>
              <w:spacing w:after="0"/>
              <w:rPr>
                <w:rFonts w:eastAsia="Times New Roman"/>
                <w:lang w:val="en-US" w:eastAsia="zh-CN"/>
              </w:rPr>
            </w:pPr>
            <w:r>
              <w:rPr>
                <w:rFonts w:eastAsia="Times New Roman"/>
                <w:lang w:val="en-US" w:eastAsia="zh-CN"/>
              </w:rPr>
              <w:t>Huawei</w:t>
            </w:r>
          </w:p>
        </w:tc>
      </w:tr>
    </w:tbl>
    <w:p w14:paraId="333DE54C" w14:textId="77777777" w:rsidR="003D5C93" w:rsidRDefault="003D5C93" w:rsidP="003D5C93">
      <w:pPr>
        <w:spacing w:before="120" w:after="240"/>
        <w:rPr>
          <w:rFonts w:eastAsia="Times New Roman"/>
          <w:lang w:val="en-US" w:eastAsia="zh-CN"/>
        </w:rPr>
      </w:pPr>
    </w:p>
    <w:p w14:paraId="68925D10" w14:textId="71E7CF38" w:rsidR="003D5C93" w:rsidRDefault="003D5C93" w:rsidP="003D5C93">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w:t>
      </w:r>
    </w:p>
    <w:p w14:paraId="52092174" w14:textId="77777777" w:rsidR="003D5C93" w:rsidRPr="00526159" w:rsidRDefault="003D5C93" w:rsidP="003D5C93">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43553588" w14:textId="77777777" w:rsidR="003D5C93" w:rsidRPr="00526159" w:rsidRDefault="003D5C93" w:rsidP="003D5C93">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等线" w:hAnsi="Times New Roman" w:cs="Times New Roman"/>
          <w:b/>
          <w:bCs/>
          <w:sz w:val="20"/>
          <w:szCs w:val="20"/>
          <w:lang w:val="en-US" w:eastAsia="zh-CN"/>
        </w:rPr>
        <w:t>Number of users</w:t>
      </w:r>
      <w:r>
        <w:rPr>
          <w:rFonts w:ascii="Times New Roman" w:eastAsia="等线"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36F38CCE" w14:textId="77777777" w:rsidR="003D5C93" w:rsidRPr="00F03576" w:rsidRDefault="003D5C93" w:rsidP="003D5C93">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等线"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等线" w:hAnsi="Times New Roman" w:cs="Times New Roman"/>
          <w:b/>
          <w:bCs/>
          <w:sz w:val="20"/>
          <w:szCs w:val="20"/>
          <w:lang w:val="en-US" w:eastAsia="zh-CN"/>
        </w:rPr>
        <w:t xml:space="preserve">number of </w:t>
      </w:r>
      <w:r>
        <w:rPr>
          <w:rFonts w:ascii="Times New Roman" w:eastAsia="等线" w:hAnsi="Times New Roman" w:cs="Times New Roman"/>
          <w:b/>
          <w:bCs/>
          <w:sz w:val="20"/>
          <w:szCs w:val="20"/>
          <w:lang w:val="en-US" w:eastAsia="zh-CN"/>
        </w:rPr>
        <w:t xml:space="preserve"> UEs that need to be scheduled </w:t>
      </w:r>
      <w:r w:rsidRPr="00526159">
        <w:rPr>
          <w:rFonts w:ascii="Times New Roman" w:eastAsia="等线" w:hAnsi="Times New Roman" w:cs="Times New Roman"/>
          <w:b/>
          <w:bCs/>
          <w:sz w:val="20"/>
          <w:szCs w:val="20"/>
          <w:lang w:val="en-US" w:eastAsia="zh-CN"/>
        </w:rPr>
        <w:t>simultaneously in a slot</w:t>
      </w:r>
      <w:r>
        <w:rPr>
          <w:rFonts w:ascii="Times New Roman" w:eastAsia="等线" w:hAnsi="Times New Roman" w:cs="Times New Roman"/>
          <w:b/>
          <w:bCs/>
          <w:sz w:val="20"/>
          <w:szCs w:val="20"/>
          <w:lang w:val="en-US" w:eastAsia="zh-CN"/>
        </w:rPr>
        <w:t xml:space="preserve"> and company can provide different PDCCH blocking rates corresponding to a range of ‘number of users’ on different rows in Tab-7</w:t>
      </w:r>
    </w:p>
    <w:p w14:paraId="5E86072C" w14:textId="77777777" w:rsidR="003D5C93" w:rsidRDefault="003D5C93" w:rsidP="003D5C93">
      <w:pPr>
        <w:rPr>
          <w:lang w:val="en-US"/>
        </w:rPr>
      </w:pPr>
      <w:r>
        <w:rPr>
          <w:lang w:val="en-US"/>
        </w:rPr>
        <w:t xml:space="preserve">All responses seem support the proposals with different preferred values. 3 companies see the need to justify the use case of 10 UEs in a single CORESET. On the other hand, this configuration (i.e. 10 UEs) was preferred by 5 companies. Furthermore, 4 companies explicitly proposed to select a set of UEs number within the range. However, the preferred numbers are still diverged. </w:t>
      </w:r>
    </w:p>
    <w:p w14:paraId="56CE1DA4" w14:textId="77777777" w:rsidR="003D5C93" w:rsidRDefault="003D5C93" w:rsidP="003D5C93">
      <w:pPr>
        <w:rPr>
          <w:lang w:val="en-US"/>
        </w:rPr>
      </w:pPr>
      <w:r>
        <w:rPr>
          <w:lang w:val="en-US"/>
        </w:rPr>
        <w:t xml:space="preserve">The following was reflected in Tab-7 template to capture the consensus: </w:t>
      </w:r>
    </w:p>
    <w:p w14:paraId="3C5403AE" w14:textId="77777777" w:rsidR="003D5C93" w:rsidRPr="000A0A58" w:rsidRDefault="003D5C93" w:rsidP="003D5C93">
      <w:pPr>
        <w:pStyle w:val="ListParagraph"/>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lastRenderedPageBreak/>
        <w:t>Revise “</w:t>
      </w:r>
      <w:r w:rsidRPr="000A0A58">
        <w:rPr>
          <w:rFonts w:ascii="Times New Roman" w:eastAsia="等线" w:hAnsi="Times New Roman" w:cs="Times New Roman"/>
          <w:sz w:val="20"/>
          <w:szCs w:val="20"/>
          <w:lang w:val="en-US" w:eastAsia="zh-CN"/>
        </w:rPr>
        <w:t>Number of users (e.g. 10)</w:t>
      </w:r>
      <w:r w:rsidRPr="000A0A58">
        <w:rPr>
          <w:rFonts w:ascii="Times New Roman" w:eastAsia="Times New Roman" w:hAnsi="Times New Roman" w:cs="Times New Roman"/>
          <w:sz w:val="20"/>
          <w:szCs w:val="20"/>
          <w:lang w:val="en-US" w:eastAsia="zh-CN"/>
        </w:rPr>
        <w:t>” to be “</w:t>
      </w:r>
      <w:r w:rsidRPr="000A0A58">
        <w:rPr>
          <w:rFonts w:ascii="Times New Roman" w:eastAsia="等线"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(e.g. </w:t>
      </w:r>
      <w:r>
        <w:rPr>
          <w:rFonts w:ascii="Times New Roman" w:eastAsia="Times New Roman" w:hAnsi="Times New Roman" w:cs="Times New Roman"/>
          <w:sz w:val="20"/>
          <w:szCs w:val="20"/>
          <w:lang w:val="en-US" w:eastAsia="zh-CN"/>
        </w:rPr>
        <w:t>1</w:t>
      </w:r>
      <w:r w:rsidRPr="000A0A58">
        <w:rPr>
          <w:rFonts w:ascii="Times New Roman" w:eastAsia="Times New Roman" w:hAnsi="Times New Roman" w:cs="Times New Roman"/>
          <w:sz w:val="20"/>
          <w:szCs w:val="20"/>
          <w:lang w:val="en-US" w:eastAsia="zh-CN"/>
        </w:rPr>
        <w:t xml:space="preserve"> to 10)” </w:t>
      </w:r>
    </w:p>
    <w:p w14:paraId="7E1E01A6" w14:textId="77777777" w:rsidR="003D5C93" w:rsidRPr="000A0A58" w:rsidRDefault="003D5C93" w:rsidP="003D5C93">
      <w:pPr>
        <w:pStyle w:val="ListParagraph"/>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Add a note in Tab-7 to clarify that “</w:t>
      </w:r>
      <w:r w:rsidRPr="000A0A58">
        <w:rPr>
          <w:rFonts w:ascii="Times New Roman" w:eastAsia="等线"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represents the </w:t>
      </w:r>
      <w:r w:rsidRPr="000A0A58">
        <w:rPr>
          <w:rFonts w:ascii="Times New Roman" w:eastAsia="等线" w:hAnsi="Times New Roman" w:cs="Times New Roman"/>
          <w:sz w:val="20"/>
          <w:szCs w:val="20"/>
          <w:lang w:val="en-US" w:eastAsia="zh-CN"/>
        </w:rPr>
        <w:t>number of UEs that need to be scheduled simultaneously in a slot and company can provide PDCCH blocking rates corresponding to a range of ‘number of users’ on different rows in Tab-7</w:t>
      </w:r>
    </w:p>
    <w:p w14:paraId="4920311B" w14:textId="2E1B7C24" w:rsidR="003D5C93" w:rsidRDefault="003D5C93" w:rsidP="003D5C93">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7308C049" w14:textId="77777777" w:rsidR="003D5C93" w:rsidRPr="006B16F0" w:rsidRDefault="003D5C93" w:rsidP="003D5C93">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31C59B72" w14:textId="77777777" w:rsidR="003D5C93" w:rsidRPr="006B16F0" w:rsidRDefault="003D5C93" w:rsidP="003D5C93">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04E91FB0" w14:textId="77777777" w:rsidR="003D5C93" w:rsidRPr="006B16F0" w:rsidRDefault="003D5C93" w:rsidP="003D5C93">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040ED4DE" w14:textId="5037BCAC" w:rsidR="0029589A" w:rsidRPr="0029589A" w:rsidRDefault="003D5C93" w:rsidP="0029589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55CB13E5" w14:textId="77777777" w:rsidR="006338D3" w:rsidRDefault="006338D3" w:rsidP="006338D3">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p w14:paraId="6B17EA15" w14:textId="77777777" w:rsidR="003D5C93" w:rsidRDefault="003D5C93" w:rsidP="003D5C93">
      <w:r w:rsidRPr="006372D5">
        <w:t>On Q</w:t>
      </w:r>
      <w:r>
        <w:t>3-3, all responses agree to limit AL distribution to align results for making the conclusion in TP. Companies positions can be categorized as follows:</w:t>
      </w:r>
    </w:p>
    <w:tbl>
      <w:tblPr>
        <w:tblStyle w:val="TableGrid"/>
        <w:tblW w:w="0" w:type="auto"/>
        <w:tblLook w:val="04A0" w:firstRow="1" w:lastRow="0" w:firstColumn="1" w:lastColumn="0" w:noHBand="0" w:noVBand="1"/>
      </w:tblPr>
      <w:tblGrid>
        <w:gridCol w:w="2155"/>
        <w:gridCol w:w="2790"/>
        <w:gridCol w:w="2250"/>
        <w:gridCol w:w="2435"/>
      </w:tblGrid>
      <w:tr w:rsidR="003D5C93" w14:paraId="3F9680CE" w14:textId="77777777" w:rsidTr="00AD66BA">
        <w:tc>
          <w:tcPr>
            <w:tcW w:w="2155" w:type="dxa"/>
          </w:tcPr>
          <w:p w14:paraId="0F7C1B3F" w14:textId="77777777" w:rsidR="003D5C93" w:rsidRPr="007D03A2" w:rsidRDefault="003D5C93" w:rsidP="00AD66BA">
            <w:pPr>
              <w:spacing w:after="0"/>
              <w:rPr>
                <w:b/>
                <w:bCs/>
              </w:rPr>
            </w:pPr>
            <w:r w:rsidRPr="007D03A2">
              <w:rPr>
                <w:b/>
                <w:bCs/>
              </w:rPr>
              <w:t>Configuration index</w:t>
            </w:r>
          </w:p>
        </w:tc>
        <w:tc>
          <w:tcPr>
            <w:tcW w:w="2790" w:type="dxa"/>
          </w:tcPr>
          <w:p w14:paraId="272DFDDB" w14:textId="77777777" w:rsidR="003D5C93" w:rsidRPr="007D03A2" w:rsidRDefault="003D5C93" w:rsidP="00AD66BA">
            <w:pPr>
              <w:spacing w:after="0"/>
              <w:rPr>
                <w:b/>
                <w:bCs/>
              </w:rPr>
            </w:pPr>
            <w:r w:rsidRPr="007D03A2">
              <w:rPr>
                <w:b/>
                <w:bCs/>
              </w:rPr>
              <w:t>Support</w:t>
            </w:r>
            <w:r>
              <w:rPr>
                <w:b/>
                <w:bCs/>
              </w:rPr>
              <w:t>ing</w:t>
            </w:r>
            <w:r w:rsidRPr="007D03A2">
              <w:rPr>
                <w:b/>
                <w:bCs/>
              </w:rPr>
              <w:t xml:space="preserve"> companies</w:t>
            </w:r>
          </w:p>
        </w:tc>
        <w:tc>
          <w:tcPr>
            <w:tcW w:w="2250" w:type="dxa"/>
          </w:tcPr>
          <w:p w14:paraId="2A70765A" w14:textId="77777777" w:rsidR="003D5C93" w:rsidRPr="007D03A2" w:rsidRDefault="003D5C93" w:rsidP="00AD66BA">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37793296" w14:textId="77777777" w:rsidR="003D5C93" w:rsidRPr="007D03A2" w:rsidRDefault="003D5C93" w:rsidP="00AD66BA">
            <w:pPr>
              <w:spacing w:after="0"/>
              <w:rPr>
                <w:b/>
                <w:bCs/>
              </w:rPr>
            </w:pPr>
            <w:r w:rsidRPr="007D03A2">
              <w:rPr>
                <w:b/>
                <w:bCs/>
              </w:rPr>
              <w:t>Concerns</w:t>
            </w:r>
          </w:p>
        </w:tc>
      </w:tr>
      <w:tr w:rsidR="003D5C93" w14:paraId="086CD57C" w14:textId="77777777" w:rsidTr="00AD66BA">
        <w:tc>
          <w:tcPr>
            <w:tcW w:w="2155" w:type="dxa"/>
          </w:tcPr>
          <w:p w14:paraId="0BD83049" w14:textId="77777777" w:rsidR="003D5C93" w:rsidRDefault="003D5C93" w:rsidP="00AD66BA">
            <w:pPr>
              <w:spacing w:after="0"/>
            </w:pPr>
            <w:r>
              <w:t>1</w:t>
            </w:r>
          </w:p>
        </w:tc>
        <w:tc>
          <w:tcPr>
            <w:tcW w:w="2790" w:type="dxa"/>
          </w:tcPr>
          <w:p w14:paraId="7FC12500" w14:textId="77777777" w:rsidR="003D5C93" w:rsidRDefault="003D5C93" w:rsidP="00AD66BA">
            <w:pPr>
              <w:spacing w:after="0"/>
            </w:pPr>
            <w:r>
              <w:t>Ericsson, Qualcomm, CATT, Huawei</w:t>
            </w:r>
          </w:p>
        </w:tc>
        <w:tc>
          <w:tcPr>
            <w:tcW w:w="2250" w:type="dxa"/>
          </w:tcPr>
          <w:p w14:paraId="2FB571F4" w14:textId="77777777" w:rsidR="003D5C93" w:rsidRDefault="003D5C93" w:rsidP="00AD66BA">
            <w:pPr>
              <w:spacing w:after="0"/>
            </w:pPr>
            <w:r>
              <w:t>4</w:t>
            </w:r>
          </w:p>
        </w:tc>
        <w:tc>
          <w:tcPr>
            <w:tcW w:w="2435" w:type="dxa"/>
          </w:tcPr>
          <w:p w14:paraId="5EE16858" w14:textId="77777777" w:rsidR="003D5C93" w:rsidRDefault="003D5C93" w:rsidP="00AD66BA">
            <w:pPr>
              <w:spacing w:after="0"/>
            </w:pPr>
          </w:p>
        </w:tc>
      </w:tr>
      <w:tr w:rsidR="003D5C93" w14:paraId="1975E3EE" w14:textId="77777777" w:rsidTr="00AD66BA">
        <w:tc>
          <w:tcPr>
            <w:tcW w:w="2155" w:type="dxa"/>
          </w:tcPr>
          <w:p w14:paraId="52469D89" w14:textId="77777777" w:rsidR="003D5C93" w:rsidRDefault="003D5C93" w:rsidP="00AD66BA">
            <w:pPr>
              <w:spacing w:after="0"/>
            </w:pPr>
            <w:r>
              <w:t>2</w:t>
            </w:r>
          </w:p>
        </w:tc>
        <w:tc>
          <w:tcPr>
            <w:tcW w:w="2790" w:type="dxa"/>
          </w:tcPr>
          <w:p w14:paraId="7A16600A" w14:textId="77777777" w:rsidR="003D5C93" w:rsidRDefault="003D5C93" w:rsidP="00AD66BA">
            <w:pPr>
              <w:spacing w:after="0"/>
            </w:pPr>
            <w:r>
              <w:t>Ericsson, Futurewei, CATT, MediaTek</w:t>
            </w:r>
          </w:p>
        </w:tc>
        <w:tc>
          <w:tcPr>
            <w:tcW w:w="2250" w:type="dxa"/>
          </w:tcPr>
          <w:p w14:paraId="476F6694" w14:textId="77777777" w:rsidR="003D5C93" w:rsidRDefault="003D5C93" w:rsidP="00AD66BA">
            <w:pPr>
              <w:spacing w:after="0"/>
            </w:pPr>
            <w:r>
              <w:t>4</w:t>
            </w:r>
          </w:p>
        </w:tc>
        <w:tc>
          <w:tcPr>
            <w:tcW w:w="2435" w:type="dxa"/>
          </w:tcPr>
          <w:p w14:paraId="17BF1ADA" w14:textId="77777777" w:rsidR="003D5C93" w:rsidRDefault="003D5C93" w:rsidP="00AD66BA">
            <w:pPr>
              <w:spacing w:after="0"/>
            </w:pPr>
          </w:p>
        </w:tc>
      </w:tr>
      <w:tr w:rsidR="003D5C93" w14:paraId="243D9F32" w14:textId="77777777" w:rsidTr="00AD66BA">
        <w:tc>
          <w:tcPr>
            <w:tcW w:w="2155" w:type="dxa"/>
          </w:tcPr>
          <w:p w14:paraId="5AB5E6EB" w14:textId="77777777" w:rsidR="003D5C93" w:rsidRDefault="003D5C93" w:rsidP="00AD66BA">
            <w:pPr>
              <w:spacing w:after="0"/>
            </w:pPr>
            <w:r>
              <w:t xml:space="preserve">3 </w:t>
            </w:r>
          </w:p>
        </w:tc>
        <w:tc>
          <w:tcPr>
            <w:tcW w:w="2790" w:type="dxa"/>
          </w:tcPr>
          <w:p w14:paraId="0F68ADD3" w14:textId="77777777" w:rsidR="003D5C93" w:rsidRDefault="003D5C93" w:rsidP="00AD66BA">
            <w:pPr>
              <w:spacing w:after="0"/>
            </w:pPr>
            <w:r>
              <w:t xml:space="preserve">Ericsson, Qualcomm, MediaTek </w:t>
            </w:r>
          </w:p>
        </w:tc>
        <w:tc>
          <w:tcPr>
            <w:tcW w:w="2250" w:type="dxa"/>
          </w:tcPr>
          <w:p w14:paraId="3DE13312" w14:textId="77777777" w:rsidR="003D5C93" w:rsidRDefault="003D5C93" w:rsidP="00AD66BA">
            <w:pPr>
              <w:spacing w:after="0"/>
            </w:pPr>
            <w:r>
              <w:t>3</w:t>
            </w:r>
          </w:p>
        </w:tc>
        <w:tc>
          <w:tcPr>
            <w:tcW w:w="2435" w:type="dxa"/>
          </w:tcPr>
          <w:p w14:paraId="037114F5" w14:textId="77777777" w:rsidR="003D5C93" w:rsidRDefault="003D5C93" w:rsidP="00AD66BA">
            <w:pPr>
              <w:spacing w:after="0"/>
            </w:pPr>
            <w:r>
              <w:t>Intel (Not realistic and only happen in case of poor network planning)</w:t>
            </w:r>
          </w:p>
        </w:tc>
      </w:tr>
      <w:tr w:rsidR="003D5C93" w14:paraId="45FBE9DA" w14:textId="77777777" w:rsidTr="00AD66BA">
        <w:tc>
          <w:tcPr>
            <w:tcW w:w="2155" w:type="dxa"/>
          </w:tcPr>
          <w:p w14:paraId="6B1110BC" w14:textId="77777777" w:rsidR="003D5C93" w:rsidRDefault="003D5C93" w:rsidP="00AD66BA">
            <w:pPr>
              <w:spacing w:after="0"/>
            </w:pPr>
            <w:r>
              <w:t>4</w:t>
            </w:r>
          </w:p>
        </w:tc>
        <w:tc>
          <w:tcPr>
            <w:tcW w:w="2790" w:type="dxa"/>
          </w:tcPr>
          <w:p w14:paraId="08BBF8C2" w14:textId="77777777" w:rsidR="003D5C93" w:rsidRDefault="003D5C93" w:rsidP="00AD66BA">
            <w:pPr>
              <w:spacing w:after="0"/>
            </w:pPr>
            <w:r>
              <w:t>Ericsson</w:t>
            </w:r>
          </w:p>
        </w:tc>
        <w:tc>
          <w:tcPr>
            <w:tcW w:w="2250" w:type="dxa"/>
          </w:tcPr>
          <w:p w14:paraId="2E42D2B7" w14:textId="77777777" w:rsidR="003D5C93" w:rsidRDefault="003D5C93" w:rsidP="00AD66BA">
            <w:pPr>
              <w:spacing w:after="0"/>
            </w:pPr>
            <w:r>
              <w:t>1</w:t>
            </w:r>
          </w:p>
        </w:tc>
        <w:tc>
          <w:tcPr>
            <w:tcW w:w="2435" w:type="dxa"/>
          </w:tcPr>
          <w:p w14:paraId="549A7EB6" w14:textId="77777777" w:rsidR="003D5C93" w:rsidRDefault="003D5C93" w:rsidP="00AD66BA">
            <w:pPr>
              <w:spacing w:after="0"/>
            </w:pPr>
            <w:r>
              <w:t>Futurewei (artificial), Qualcomm, Intel</w:t>
            </w:r>
          </w:p>
        </w:tc>
      </w:tr>
      <w:tr w:rsidR="003D5C93" w14:paraId="4901DCD9" w14:textId="77777777" w:rsidTr="00AD66BA">
        <w:tc>
          <w:tcPr>
            <w:tcW w:w="2155" w:type="dxa"/>
          </w:tcPr>
          <w:p w14:paraId="6C4732F3" w14:textId="77777777" w:rsidR="003D5C93" w:rsidRDefault="003D5C93" w:rsidP="00AD66BA">
            <w:pPr>
              <w:spacing w:after="0"/>
            </w:pPr>
            <w:r>
              <w:t>5 (Revised Config.1)</w:t>
            </w:r>
          </w:p>
        </w:tc>
        <w:tc>
          <w:tcPr>
            <w:tcW w:w="2790" w:type="dxa"/>
          </w:tcPr>
          <w:p w14:paraId="027A7D8E" w14:textId="77777777" w:rsidR="003D5C93" w:rsidRDefault="003D5C93" w:rsidP="00AD66BA">
            <w:pPr>
              <w:spacing w:after="0"/>
            </w:pPr>
            <w:r>
              <w:t>Vivo: [0.7, 0.2, 0.05, 0.03, 0.02]</w:t>
            </w:r>
          </w:p>
        </w:tc>
        <w:tc>
          <w:tcPr>
            <w:tcW w:w="2250" w:type="dxa"/>
          </w:tcPr>
          <w:p w14:paraId="302F6C01" w14:textId="77777777" w:rsidR="003D5C93" w:rsidRDefault="003D5C93" w:rsidP="00AD66BA">
            <w:pPr>
              <w:spacing w:after="0"/>
            </w:pPr>
            <w:r>
              <w:t>1</w:t>
            </w:r>
          </w:p>
        </w:tc>
        <w:tc>
          <w:tcPr>
            <w:tcW w:w="2435" w:type="dxa"/>
          </w:tcPr>
          <w:p w14:paraId="264F3DC8" w14:textId="77777777" w:rsidR="003D5C93" w:rsidRDefault="003D5C93" w:rsidP="00AD66BA">
            <w:pPr>
              <w:spacing w:after="0"/>
            </w:pPr>
          </w:p>
        </w:tc>
      </w:tr>
      <w:tr w:rsidR="003D5C93" w14:paraId="6CD428D8" w14:textId="77777777" w:rsidTr="00AD66BA">
        <w:tc>
          <w:tcPr>
            <w:tcW w:w="2155" w:type="dxa"/>
          </w:tcPr>
          <w:p w14:paraId="67825DB3" w14:textId="77777777" w:rsidR="003D5C93" w:rsidRDefault="003D5C93" w:rsidP="00AD66BA">
            <w:pPr>
              <w:spacing w:after="0"/>
            </w:pPr>
            <w:r>
              <w:t>6 (Revised Config.1)</w:t>
            </w:r>
          </w:p>
        </w:tc>
        <w:tc>
          <w:tcPr>
            <w:tcW w:w="2790" w:type="dxa"/>
          </w:tcPr>
          <w:p w14:paraId="0F519950" w14:textId="77777777" w:rsidR="003D5C93" w:rsidRDefault="003D5C93" w:rsidP="00AD66BA">
            <w:pPr>
              <w:spacing w:after="0"/>
            </w:pPr>
            <w:r>
              <w:t>OPPO: [0.4, 0.5, 0.05, 0.03, 0.02]</w:t>
            </w:r>
          </w:p>
        </w:tc>
        <w:tc>
          <w:tcPr>
            <w:tcW w:w="2250" w:type="dxa"/>
          </w:tcPr>
          <w:p w14:paraId="48733A26" w14:textId="77777777" w:rsidR="003D5C93" w:rsidRDefault="003D5C93" w:rsidP="00AD66BA">
            <w:pPr>
              <w:spacing w:after="0"/>
            </w:pPr>
            <w:r>
              <w:t>1</w:t>
            </w:r>
          </w:p>
        </w:tc>
        <w:tc>
          <w:tcPr>
            <w:tcW w:w="2435" w:type="dxa"/>
          </w:tcPr>
          <w:p w14:paraId="078AA477" w14:textId="77777777" w:rsidR="003D5C93" w:rsidRDefault="003D5C93" w:rsidP="00AD66BA">
            <w:pPr>
              <w:spacing w:after="0"/>
            </w:pPr>
          </w:p>
        </w:tc>
      </w:tr>
      <w:tr w:rsidR="003D5C93" w14:paraId="2B8BCB6A" w14:textId="77777777" w:rsidTr="00AD66BA">
        <w:tc>
          <w:tcPr>
            <w:tcW w:w="2155" w:type="dxa"/>
          </w:tcPr>
          <w:p w14:paraId="222FC87A" w14:textId="77777777" w:rsidR="003D5C93" w:rsidRDefault="003D5C93" w:rsidP="00AD66BA">
            <w:pPr>
              <w:spacing w:after="0"/>
            </w:pPr>
            <w:r>
              <w:t>7 (Revised Config.1)</w:t>
            </w:r>
          </w:p>
        </w:tc>
        <w:tc>
          <w:tcPr>
            <w:tcW w:w="2790" w:type="dxa"/>
          </w:tcPr>
          <w:p w14:paraId="1E2ABA47" w14:textId="77777777" w:rsidR="003D5C93" w:rsidRDefault="003D5C93" w:rsidP="00AD66BA">
            <w:pPr>
              <w:spacing w:after="0"/>
            </w:pPr>
            <w:r>
              <w:t xml:space="preserve">Huawei: [0.3, 0.5, </w:t>
            </w:r>
            <w:r w:rsidRPr="00A70F03">
              <w:rPr>
                <w:strike/>
                <w:color w:val="FF0000"/>
              </w:rPr>
              <w:t>0.05</w:t>
            </w:r>
            <w:r w:rsidRPr="00A70F03">
              <w:rPr>
                <w:color w:val="FF0000"/>
              </w:rPr>
              <w:t xml:space="preserve">, 0.10, </w:t>
            </w:r>
            <w:r w:rsidRPr="00A70F03">
              <w:rPr>
                <w:strike/>
                <w:color w:val="FF0000"/>
              </w:rPr>
              <w:t>0.03,</w:t>
            </w:r>
            <w:r w:rsidRPr="00A70F03">
              <w:rPr>
                <w:color w:val="FF0000"/>
              </w:rPr>
              <w:t xml:space="preserve"> 0.06, </w:t>
            </w:r>
            <w:r w:rsidRPr="00A70F03">
              <w:rPr>
                <w:strike/>
                <w:color w:val="FF0000"/>
              </w:rPr>
              <w:t>0.02,</w:t>
            </w:r>
            <w:r w:rsidRPr="00A70F03">
              <w:rPr>
                <w:color w:val="FF0000"/>
              </w:rPr>
              <w:t xml:space="preserve"> 0.04</w:t>
            </w:r>
            <w:r>
              <w:t>] (for 1Rx case)</w:t>
            </w:r>
          </w:p>
        </w:tc>
        <w:tc>
          <w:tcPr>
            <w:tcW w:w="2250" w:type="dxa"/>
          </w:tcPr>
          <w:p w14:paraId="6838F3FB" w14:textId="77777777" w:rsidR="003D5C93" w:rsidRDefault="003D5C93" w:rsidP="00AD66BA">
            <w:pPr>
              <w:spacing w:after="0"/>
            </w:pPr>
            <w:r>
              <w:t>1</w:t>
            </w:r>
          </w:p>
        </w:tc>
        <w:tc>
          <w:tcPr>
            <w:tcW w:w="2435" w:type="dxa"/>
          </w:tcPr>
          <w:p w14:paraId="6BF4DB3E" w14:textId="77777777" w:rsidR="003D5C93" w:rsidRDefault="003D5C93" w:rsidP="00AD66BA">
            <w:pPr>
              <w:spacing w:after="0"/>
            </w:pPr>
          </w:p>
        </w:tc>
      </w:tr>
      <w:tr w:rsidR="003D5C93" w14:paraId="13D93313" w14:textId="77777777" w:rsidTr="00AD66BA">
        <w:tc>
          <w:tcPr>
            <w:tcW w:w="2155" w:type="dxa"/>
          </w:tcPr>
          <w:p w14:paraId="2D077EF2" w14:textId="77777777" w:rsidR="003D5C93" w:rsidRDefault="003D5C93" w:rsidP="00AD66BA">
            <w:pPr>
              <w:spacing w:after="0"/>
            </w:pPr>
            <w:r>
              <w:t>8 (Revised Config.1)</w:t>
            </w:r>
          </w:p>
        </w:tc>
        <w:tc>
          <w:tcPr>
            <w:tcW w:w="2790" w:type="dxa"/>
          </w:tcPr>
          <w:p w14:paraId="139DD0CD" w14:textId="77777777" w:rsidR="003D5C93" w:rsidRDefault="003D5C93" w:rsidP="00AD66BA">
            <w:pPr>
              <w:spacing w:after="0"/>
            </w:pPr>
            <w:r w:rsidRPr="00EB6849">
              <w:rPr>
                <w:color w:val="000000" w:themeColor="text1"/>
              </w:rPr>
              <w:t>Intel: [0.5, 0.4, 0.07, 0.02, 0.01].</w:t>
            </w:r>
          </w:p>
        </w:tc>
        <w:tc>
          <w:tcPr>
            <w:tcW w:w="2250" w:type="dxa"/>
          </w:tcPr>
          <w:p w14:paraId="285FF582" w14:textId="77777777" w:rsidR="003D5C93" w:rsidRDefault="003D5C93" w:rsidP="00AD66BA">
            <w:pPr>
              <w:spacing w:after="0"/>
            </w:pPr>
            <w:r>
              <w:t>1</w:t>
            </w:r>
          </w:p>
        </w:tc>
        <w:tc>
          <w:tcPr>
            <w:tcW w:w="2435" w:type="dxa"/>
          </w:tcPr>
          <w:p w14:paraId="045A3613" w14:textId="77777777" w:rsidR="003D5C93" w:rsidRDefault="003D5C93" w:rsidP="00AD66BA">
            <w:pPr>
              <w:spacing w:after="0"/>
            </w:pPr>
          </w:p>
        </w:tc>
      </w:tr>
    </w:tbl>
    <w:p w14:paraId="0E890DE9" w14:textId="77777777" w:rsidR="003D5C93" w:rsidRDefault="003D5C93" w:rsidP="003D5C93"/>
    <w:p w14:paraId="3AE76B5A" w14:textId="77777777" w:rsidR="003D5C93" w:rsidRDefault="003D5C93" w:rsidP="003D5C93">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53CE5FA6" w14:textId="39A9DB3F" w:rsidR="00651A3F" w:rsidRDefault="003D5C93" w:rsidP="003D5C93">
      <w:r w:rsidRPr="00CE3ABE">
        <w:t xml:space="preserve">In addition, </w:t>
      </w:r>
      <w:r>
        <w:t xml:space="preserve">one company proposed to clarify </w:t>
      </w:r>
      <w:r w:rsidR="008C20A0">
        <w:t>C</w:t>
      </w:r>
      <w:r>
        <w:t>onfiguration</w:t>
      </w:r>
      <w:r w:rsidR="008C20A0">
        <w:t>s</w:t>
      </w:r>
      <w:r>
        <w:t xml:space="preserve"> 1-4 above is assumed with 2 Rx. Correspondingly, it was also proposed to consider configuration 7 above for PDCCH blocking rate evaluation.</w:t>
      </w:r>
    </w:p>
    <w:p w14:paraId="4A2E85B1" w14:textId="212BB035" w:rsidR="003D5C93" w:rsidRDefault="003D5C93" w:rsidP="003D5C93">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w:t>
      </w:r>
      <w:r w:rsidR="006D3E0E">
        <w:rPr>
          <w:b/>
          <w:bCs/>
        </w:rPr>
        <w:t>C</w:t>
      </w:r>
      <w:r>
        <w:rPr>
          <w:b/>
          <w:bCs/>
        </w:rPr>
        <w:t>onfiguration</w:t>
      </w:r>
      <w:r w:rsidR="006D3E0E">
        <w:rPr>
          <w:b/>
          <w:bCs/>
        </w:rPr>
        <w:t>s</w:t>
      </w:r>
      <w:r>
        <w:rPr>
          <w:b/>
          <w:bCs/>
        </w:rPr>
        <w:t xml:space="preserve"> 1-4 </w:t>
      </w:r>
      <w:r w:rsidR="006366A3">
        <w:rPr>
          <w:b/>
          <w:bCs/>
        </w:rPr>
        <w:t>are</w:t>
      </w:r>
      <w:r>
        <w:rPr>
          <w:b/>
          <w:bCs/>
        </w:rPr>
        <w:t xml:space="preserve"> applied for 2 Rx case? If yes, can we agree to use </w:t>
      </w:r>
      <w:r w:rsidR="00B31F47">
        <w:rPr>
          <w:b/>
          <w:bCs/>
        </w:rPr>
        <w:t>C</w:t>
      </w:r>
      <w:r>
        <w:rPr>
          <w:b/>
          <w:bCs/>
        </w:rPr>
        <w:t xml:space="preserve">onfiguration 7 above for 1 Rx case for power saving evaluation as proposed by Huawei? Please provide some justification for each input. </w:t>
      </w:r>
    </w:p>
    <w:p w14:paraId="75CBBDF3" w14:textId="4B588BAE" w:rsidR="003D5C93" w:rsidRPr="00E36F1F" w:rsidRDefault="003D5C93" w:rsidP="003D5C93">
      <w:r w:rsidRPr="00E36F1F">
        <w:t>Reponses from companies</w:t>
      </w:r>
      <w:r>
        <w:t xml:space="preserve"> on Q3-3a</w:t>
      </w:r>
      <w:r w:rsidRPr="00E36F1F">
        <w:t xml:space="preserve"> can be summarized</w:t>
      </w:r>
      <w:r>
        <w:t xml:space="preserve"> as follows: </w:t>
      </w:r>
    </w:p>
    <w:tbl>
      <w:tblPr>
        <w:tblStyle w:val="TableGrid"/>
        <w:tblW w:w="0" w:type="auto"/>
        <w:tblLook w:val="04A0" w:firstRow="1" w:lastRow="0" w:firstColumn="1" w:lastColumn="0" w:noHBand="0" w:noVBand="1"/>
      </w:tblPr>
      <w:tblGrid>
        <w:gridCol w:w="1705"/>
        <w:gridCol w:w="3109"/>
        <w:gridCol w:w="3101"/>
        <w:gridCol w:w="1715"/>
      </w:tblGrid>
      <w:tr w:rsidR="003D5C93" w14:paraId="6B186489" w14:textId="77777777" w:rsidTr="00ED6D1D">
        <w:tc>
          <w:tcPr>
            <w:tcW w:w="1705" w:type="dxa"/>
            <w:shd w:val="clear" w:color="auto" w:fill="auto"/>
          </w:tcPr>
          <w:p w14:paraId="24430DA3" w14:textId="77777777" w:rsidR="003D5C93" w:rsidRPr="00ED6D1D" w:rsidRDefault="003D5C93" w:rsidP="00AD66BA">
            <w:pPr>
              <w:spacing w:after="0"/>
              <w:rPr>
                <w:b/>
                <w:bCs/>
              </w:rPr>
            </w:pPr>
            <w:r w:rsidRPr="00ED6D1D">
              <w:rPr>
                <w:b/>
                <w:bCs/>
              </w:rPr>
              <w:t xml:space="preserve">Proposals </w:t>
            </w:r>
          </w:p>
        </w:tc>
        <w:tc>
          <w:tcPr>
            <w:tcW w:w="3109" w:type="dxa"/>
            <w:shd w:val="clear" w:color="auto" w:fill="auto"/>
          </w:tcPr>
          <w:p w14:paraId="3B6EF185" w14:textId="77777777" w:rsidR="003D5C93" w:rsidRPr="00ED6D1D" w:rsidRDefault="003D5C93" w:rsidP="00AD66BA">
            <w:pPr>
              <w:spacing w:after="0"/>
              <w:rPr>
                <w:b/>
                <w:bCs/>
              </w:rPr>
            </w:pPr>
            <w:r w:rsidRPr="00ED6D1D">
              <w:rPr>
                <w:b/>
                <w:bCs/>
              </w:rPr>
              <w:t>Yes</w:t>
            </w:r>
          </w:p>
        </w:tc>
        <w:tc>
          <w:tcPr>
            <w:tcW w:w="3101" w:type="dxa"/>
            <w:shd w:val="clear" w:color="auto" w:fill="auto"/>
          </w:tcPr>
          <w:p w14:paraId="2A3443D9" w14:textId="77777777" w:rsidR="003D5C93" w:rsidRPr="00ED6D1D" w:rsidRDefault="003D5C93" w:rsidP="00AD66BA">
            <w:pPr>
              <w:spacing w:after="0"/>
              <w:rPr>
                <w:b/>
                <w:bCs/>
              </w:rPr>
            </w:pPr>
            <w:r w:rsidRPr="00ED6D1D">
              <w:rPr>
                <w:b/>
                <w:bCs/>
              </w:rPr>
              <w:t>No</w:t>
            </w:r>
          </w:p>
        </w:tc>
        <w:tc>
          <w:tcPr>
            <w:tcW w:w="1715" w:type="dxa"/>
            <w:shd w:val="clear" w:color="auto" w:fill="auto"/>
          </w:tcPr>
          <w:p w14:paraId="321BAF14" w14:textId="77777777" w:rsidR="003D5C93" w:rsidRPr="00ED6D1D" w:rsidRDefault="003D5C93" w:rsidP="00AD66BA">
            <w:pPr>
              <w:spacing w:after="0"/>
              <w:rPr>
                <w:b/>
                <w:bCs/>
              </w:rPr>
            </w:pPr>
            <w:r w:rsidRPr="00ED6D1D">
              <w:rPr>
                <w:b/>
                <w:bCs/>
              </w:rPr>
              <w:t xml:space="preserve">Num. of companies </w:t>
            </w:r>
          </w:p>
        </w:tc>
      </w:tr>
      <w:tr w:rsidR="003D5C93" w14:paraId="1E838EA7" w14:textId="77777777" w:rsidTr="00AD66BA">
        <w:tc>
          <w:tcPr>
            <w:tcW w:w="1705" w:type="dxa"/>
          </w:tcPr>
          <w:p w14:paraId="21D5C68B" w14:textId="77777777" w:rsidR="003D5C93" w:rsidRPr="00E36F1F" w:rsidRDefault="003D5C93" w:rsidP="00AD66BA">
            <w:pPr>
              <w:spacing w:after="0"/>
            </w:pPr>
            <w:r w:rsidRPr="00E36F1F">
              <w:lastRenderedPageBreak/>
              <w:t>Configuration 1-4 for 2 Rx</w:t>
            </w:r>
          </w:p>
        </w:tc>
        <w:tc>
          <w:tcPr>
            <w:tcW w:w="3109" w:type="dxa"/>
          </w:tcPr>
          <w:p w14:paraId="212E9631" w14:textId="77777777" w:rsidR="003D5C93" w:rsidRPr="00E36F1F" w:rsidRDefault="003D5C93" w:rsidP="00AD66BA">
            <w:pPr>
              <w:spacing w:after="0"/>
            </w:pPr>
            <w:r>
              <w:t>Futurewei, Vivo, Huawei, Qualcomm, Samsung</w:t>
            </w:r>
          </w:p>
        </w:tc>
        <w:tc>
          <w:tcPr>
            <w:tcW w:w="3101" w:type="dxa"/>
          </w:tcPr>
          <w:p w14:paraId="1344AB86" w14:textId="77777777" w:rsidR="003D5C93" w:rsidRPr="00E36F1F" w:rsidRDefault="003D5C93" w:rsidP="00AD66BA">
            <w:pPr>
              <w:spacing w:after="0"/>
            </w:pPr>
            <w:r>
              <w:t xml:space="preserve">Ericsson, CATT, MediaTek, ZTE, Nokia, Intel, LG, </w:t>
            </w:r>
          </w:p>
        </w:tc>
        <w:tc>
          <w:tcPr>
            <w:tcW w:w="1715" w:type="dxa"/>
            <w:shd w:val="clear" w:color="auto" w:fill="FFFF00"/>
          </w:tcPr>
          <w:p w14:paraId="4C74DF5D" w14:textId="77777777" w:rsidR="003D5C93" w:rsidRDefault="003D5C93" w:rsidP="00AD66BA">
            <w:pPr>
              <w:spacing w:after="0"/>
            </w:pPr>
            <w:r>
              <w:t>Yes: 5</w:t>
            </w:r>
          </w:p>
          <w:p w14:paraId="3AA9C8A7" w14:textId="77777777" w:rsidR="003D5C93" w:rsidRPr="00E36F1F" w:rsidRDefault="003D5C93" w:rsidP="00AD66BA">
            <w:pPr>
              <w:spacing w:after="0"/>
            </w:pPr>
            <w:r>
              <w:t>No:7</w:t>
            </w:r>
          </w:p>
        </w:tc>
      </w:tr>
      <w:tr w:rsidR="003D5C93" w14:paraId="75C4899A" w14:textId="77777777" w:rsidTr="00AD66BA">
        <w:tc>
          <w:tcPr>
            <w:tcW w:w="1705" w:type="dxa"/>
          </w:tcPr>
          <w:p w14:paraId="38046A4B" w14:textId="77777777" w:rsidR="003D5C93" w:rsidRPr="00E36F1F" w:rsidRDefault="003D5C93" w:rsidP="00AD66BA">
            <w:pPr>
              <w:spacing w:after="0"/>
            </w:pPr>
            <w:r>
              <w:t>Configuration 7 for 1 Rx</w:t>
            </w:r>
          </w:p>
        </w:tc>
        <w:tc>
          <w:tcPr>
            <w:tcW w:w="3109" w:type="dxa"/>
          </w:tcPr>
          <w:p w14:paraId="1C6E9FFB" w14:textId="77777777" w:rsidR="003D5C93" w:rsidRPr="00E36F1F" w:rsidRDefault="003D5C93" w:rsidP="00AD66BA">
            <w:pPr>
              <w:spacing w:after="0"/>
            </w:pPr>
            <w:r>
              <w:t xml:space="preserve">Futurewei, Huawei, </w:t>
            </w:r>
          </w:p>
        </w:tc>
        <w:tc>
          <w:tcPr>
            <w:tcW w:w="3101" w:type="dxa"/>
          </w:tcPr>
          <w:p w14:paraId="5AFC26C4" w14:textId="77777777" w:rsidR="003D5C93" w:rsidRPr="00E36F1F" w:rsidRDefault="003D5C93" w:rsidP="00AD66BA">
            <w:pPr>
              <w:spacing w:after="0"/>
            </w:pPr>
            <w:r>
              <w:t>Ericsson, Vivo, CATT, MediaTek, Qualcomm, ZTE, Nokia, Intel, LG, Samsung, OPPO</w:t>
            </w:r>
          </w:p>
        </w:tc>
        <w:tc>
          <w:tcPr>
            <w:tcW w:w="1715" w:type="dxa"/>
            <w:shd w:val="clear" w:color="auto" w:fill="FFFF00"/>
          </w:tcPr>
          <w:p w14:paraId="16680B17" w14:textId="77777777" w:rsidR="003D5C93" w:rsidRDefault="003D5C93" w:rsidP="00AD66BA">
            <w:pPr>
              <w:spacing w:after="0"/>
            </w:pPr>
            <w:r>
              <w:t>Yes: 2</w:t>
            </w:r>
          </w:p>
          <w:p w14:paraId="307E3BB0" w14:textId="77777777" w:rsidR="003D5C93" w:rsidRPr="00E36F1F" w:rsidRDefault="003D5C93" w:rsidP="00AD66BA">
            <w:pPr>
              <w:spacing w:after="0"/>
            </w:pPr>
            <w:r>
              <w:t>No: 11</w:t>
            </w:r>
          </w:p>
        </w:tc>
      </w:tr>
    </w:tbl>
    <w:p w14:paraId="0FDFE1C5" w14:textId="77777777" w:rsidR="003D5C93" w:rsidRDefault="003D5C93" w:rsidP="003D5C93">
      <w:pPr>
        <w:rPr>
          <w:b/>
          <w:bCs/>
        </w:rPr>
      </w:pPr>
    </w:p>
    <w:p w14:paraId="1AE4E9C2" w14:textId="77777777" w:rsidR="003D5C93" w:rsidRPr="0070301D" w:rsidRDefault="003D5C93" w:rsidP="003D5C93">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5AE86AE0" w14:textId="77777777" w:rsidR="003D5C93" w:rsidRDefault="003D5C93" w:rsidP="003D5C93">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p w14:paraId="21590472" w14:textId="77777777" w:rsidR="003D5C93" w:rsidRPr="00D437E0" w:rsidRDefault="003D5C93" w:rsidP="003D5C93">
      <w:r w:rsidRPr="00E36F1F">
        <w:t>Re</w:t>
      </w:r>
      <w:r>
        <w:t>s</w:t>
      </w:r>
      <w:r w:rsidRPr="00E36F1F">
        <w:t>ponses from companies</w:t>
      </w:r>
      <w:r>
        <w:t xml:space="preserve"> on P3-3</w:t>
      </w:r>
      <w:r w:rsidRPr="00E36F1F">
        <w:t xml:space="preserve"> can be summarized</w:t>
      </w:r>
      <w:r>
        <w:t xml:space="preserve"> as follows: </w:t>
      </w:r>
    </w:p>
    <w:tbl>
      <w:tblPr>
        <w:tblStyle w:val="TableGrid"/>
        <w:tblW w:w="0" w:type="auto"/>
        <w:tblLook w:val="04A0" w:firstRow="1" w:lastRow="0" w:firstColumn="1" w:lastColumn="0" w:noHBand="0" w:noVBand="1"/>
      </w:tblPr>
      <w:tblGrid>
        <w:gridCol w:w="985"/>
        <w:gridCol w:w="2880"/>
        <w:gridCol w:w="3690"/>
        <w:gridCol w:w="2075"/>
      </w:tblGrid>
      <w:tr w:rsidR="003D5C93" w:rsidRPr="00E36F1F" w14:paraId="576163CF" w14:textId="77777777" w:rsidTr="00ED6D1D">
        <w:tc>
          <w:tcPr>
            <w:tcW w:w="985" w:type="dxa"/>
            <w:shd w:val="clear" w:color="auto" w:fill="auto"/>
          </w:tcPr>
          <w:p w14:paraId="6F0C408F" w14:textId="77777777" w:rsidR="003D5C93" w:rsidRPr="00ED6D1D" w:rsidRDefault="003D5C93" w:rsidP="00AD66BA">
            <w:pPr>
              <w:spacing w:after="0"/>
              <w:rPr>
                <w:b/>
                <w:bCs/>
              </w:rPr>
            </w:pPr>
            <w:r w:rsidRPr="00ED6D1D">
              <w:rPr>
                <w:b/>
                <w:bCs/>
              </w:rPr>
              <w:t xml:space="preserve">Proposal </w:t>
            </w:r>
          </w:p>
        </w:tc>
        <w:tc>
          <w:tcPr>
            <w:tcW w:w="2880" w:type="dxa"/>
            <w:shd w:val="clear" w:color="auto" w:fill="auto"/>
          </w:tcPr>
          <w:p w14:paraId="4415A22A" w14:textId="77777777" w:rsidR="003D5C93" w:rsidRPr="00ED6D1D" w:rsidRDefault="003D5C93" w:rsidP="00AD66BA">
            <w:pPr>
              <w:spacing w:after="0"/>
              <w:rPr>
                <w:b/>
                <w:bCs/>
              </w:rPr>
            </w:pPr>
            <w:r w:rsidRPr="00ED6D1D">
              <w:rPr>
                <w:b/>
                <w:bCs/>
              </w:rPr>
              <w:t>Yes</w:t>
            </w:r>
          </w:p>
        </w:tc>
        <w:tc>
          <w:tcPr>
            <w:tcW w:w="3690" w:type="dxa"/>
            <w:shd w:val="clear" w:color="auto" w:fill="auto"/>
          </w:tcPr>
          <w:p w14:paraId="0CFAF49C" w14:textId="77777777" w:rsidR="003D5C93" w:rsidRPr="00ED6D1D" w:rsidRDefault="003D5C93" w:rsidP="00AD66BA">
            <w:pPr>
              <w:spacing w:after="0"/>
              <w:rPr>
                <w:b/>
                <w:bCs/>
              </w:rPr>
            </w:pPr>
            <w:r w:rsidRPr="00ED6D1D">
              <w:rPr>
                <w:b/>
                <w:bCs/>
              </w:rPr>
              <w:t xml:space="preserve">No </w:t>
            </w:r>
          </w:p>
        </w:tc>
        <w:tc>
          <w:tcPr>
            <w:tcW w:w="2075" w:type="dxa"/>
            <w:shd w:val="clear" w:color="auto" w:fill="auto"/>
          </w:tcPr>
          <w:p w14:paraId="1286C5DD" w14:textId="77777777" w:rsidR="003D5C93" w:rsidRPr="00ED6D1D" w:rsidRDefault="003D5C93" w:rsidP="00AD66BA">
            <w:pPr>
              <w:spacing w:after="0"/>
              <w:rPr>
                <w:b/>
                <w:bCs/>
              </w:rPr>
            </w:pPr>
            <w:r w:rsidRPr="00ED6D1D">
              <w:rPr>
                <w:b/>
                <w:bCs/>
              </w:rPr>
              <w:t xml:space="preserve">Num. of companies </w:t>
            </w:r>
          </w:p>
        </w:tc>
      </w:tr>
      <w:tr w:rsidR="003D5C93" w:rsidRPr="00E36F1F" w14:paraId="43059F73" w14:textId="77777777" w:rsidTr="00AD66BA">
        <w:tc>
          <w:tcPr>
            <w:tcW w:w="985" w:type="dxa"/>
          </w:tcPr>
          <w:p w14:paraId="4E3EE2B3" w14:textId="77777777" w:rsidR="003D5C93" w:rsidRPr="00E36F1F" w:rsidRDefault="003D5C93" w:rsidP="00AD66BA">
            <w:pPr>
              <w:spacing w:after="0"/>
            </w:pPr>
            <w:r>
              <w:t>P3-3</w:t>
            </w:r>
          </w:p>
        </w:tc>
        <w:tc>
          <w:tcPr>
            <w:tcW w:w="2880" w:type="dxa"/>
          </w:tcPr>
          <w:p w14:paraId="5D8BD972" w14:textId="77777777" w:rsidR="003D5C93" w:rsidRPr="00E36F1F" w:rsidRDefault="003D5C93" w:rsidP="00AD66BA">
            <w:pPr>
              <w:spacing w:after="0"/>
            </w:pPr>
            <w:r>
              <w:t>Futurewei, Ericsson, CATT, Huawei, ZTE, Nokia, Samsung, OPPO</w:t>
            </w:r>
          </w:p>
        </w:tc>
        <w:tc>
          <w:tcPr>
            <w:tcW w:w="3690" w:type="dxa"/>
          </w:tcPr>
          <w:p w14:paraId="5921E43F" w14:textId="77777777" w:rsidR="003D5C93" w:rsidRPr="00E36F1F" w:rsidRDefault="003D5C93" w:rsidP="00AD66BA">
            <w:pPr>
              <w:spacing w:after="0"/>
            </w:pPr>
            <w:r>
              <w:t xml:space="preserve">Vivo (Config-1), MTK/LG (Config-2/3), Qualcomm (at least keep Config-3), Intel (Config-1), </w:t>
            </w:r>
          </w:p>
        </w:tc>
        <w:tc>
          <w:tcPr>
            <w:tcW w:w="2075" w:type="dxa"/>
            <w:shd w:val="clear" w:color="auto" w:fill="FFFF00"/>
          </w:tcPr>
          <w:p w14:paraId="043E2C11" w14:textId="77777777" w:rsidR="003D5C93" w:rsidRDefault="003D5C93" w:rsidP="00AD66BA">
            <w:pPr>
              <w:spacing w:after="0"/>
            </w:pPr>
            <w:r>
              <w:t>Yes: 8</w:t>
            </w:r>
          </w:p>
          <w:p w14:paraId="602D4038" w14:textId="77777777" w:rsidR="003D5C93" w:rsidRPr="00E36F1F" w:rsidRDefault="003D5C93" w:rsidP="00AD66BA">
            <w:pPr>
              <w:spacing w:after="0"/>
            </w:pPr>
            <w:r>
              <w:t>No: 5</w:t>
            </w:r>
          </w:p>
        </w:tc>
      </w:tr>
    </w:tbl>
    <w:p w14:paraId="5308DA4B" w14:textId="77777777" w:rsidR="008434B2" w:rsidRDefault="008434B2" w:rsidP="008434B2">
      <w:pPr>
        <w:pStyle w:val="CommentText"/>
      </w:pPr>
    </w:p>
    <w:p w14:paraId="122C96B4" w14:textId="65C94BA7" w:rsidR="008434B2" w:rsidRPr="008434B2" w:rsidRDefault="008434B2" w:rsidP="008434B2">
      <w:pPr>
        <w:pStyle w:val="CommentText"/>
      </w:pPr>
      <w:r w:rsidRPr="008434B2">
        <w:t xml:space="preserve">It seems </w:t>
      </w:r>
      <w:r>
        <w:t>that 12 out of 13 responses are ok with at least Configuration 1 (and perhaps have Configurations 2 and 3 as optional and leave companies to report).</w:t>
      </w:r>
    </w:p>
    <w:p w14:paraId="51EAC3E7" w14:textId="6036126E" w:rsidR="003D5C93" w:rsidRPr="002E1C7F" w:rsidRDefault="003D5C93" w:rsidP="003D5C93">
      <w:pPr>
        <w:jc w:val="both"/>
        <w:rPr>
          <w:b/>
          <w:bCs/>
        </w:rPr>
      </w:pPr>
      <w:r w:rsidRPr="002943CE">
        <w:rPr>
          <w:b/>
          <w:bCs/>
        </w:rPr>
        <w:t>Q</w:t>
      </w:r>
      <w:r>
        <w:rPr>
          <w:b/>
          <w:bCs/>
        </w:rPr>
        <w:t>uestion</w:t>
      </w:r>
      <w:r w:rsidRPr="002943CE">
        <w:rPr>
          <w:b/>
          <w:bCs/>
        </w:rPr>
        <w:t xml:space="preserve"> </w:t>
      </w:r>
      <w:r>
        <w:rPr>
          <w:b/>
          <w:bCs/>
        </w:rPr>
        <w:t>3-3b</w:t>
      </w:r>
      <w:r w:rsidRPr="002943CE">
        <w:rPr>
          <w:b/>
          <w:bCs/>
        </w:rPr>
        <w:t xml:space="preserve">: </w:t>
      </w:r>
      <w:r>
        <w:rPr>
          <w:b/>
          <w:bCs/>
        </w:rPr>
        <w:t>Can the updated spreadsheet v001 be used to collect the power saving evaluation results for Redcap UEs? If not, what other aspects need to be added</w:t>
      </w:r>
      <w:r w:rsidRPr="002943CE">
        <w:rPr>
          <w:b/>
          <w:bCs/>
        </w:rPr>
        <w:t>?</w:t>
      </w:r>
      <w:r>
        <w:rPr>
          <w:b/>
          <w:bCs/>
        </w:rPr>
        <w:t xml:space="preserve"> Please </w:t>
      </w:r>
      <w:r w:rsidR="00931469">
        <w:rPr>
          <w:b/>
          <w:bCs/>
        </w:rPr>
        <w:t xml:space="preserve">do </w:t>
      </w:r>
      <w:r>
        <w:rPr>
          <w:b/>
          <w:bCs/>
        </w:rPr>
        <w:t xml:space="preserve">not repeat </w:t>
      </w:r>
      <w:r w:rsidR="00A32E8A">
        <w:rPr>
          <w:b/>
          <w:bCs/>
        </w:rPr>
        <w:t xml:space="preserve">earlier </w:t>
      </w:r>
      <w:r>
        <w:rPr>
          <w:b/>
          <w:bCs/>
        </w:rPr>
        <w:t>discussion</w:t>
      </w:r>
      <w:r w:rsidR="00A32E8A">
        <w:rPr>
          <w:b/>
          <w:bCs/>
        </w:rPr>
        <w:t>s.</w:t>
      </w:r>
    </w:p>
    <w:tbl>
      <w:tblPr>
        <w:tblStyle w:val="TableGrid"/>
        <w:tblW w:w="9634" w:type="dxa"/>
        <w:tblLook w:val="04A0" w:firstRow="1" w:lastRow="0" w:firstColumn="1" w:lastColumn="0" w:noHBand="0" w:noVBand="1"/>
      </w:tblPr>
      <w:tblGrid>
        <w:gridCol w:w="1838"/>
        <w:gridCol w:w="7796"/>
      </w:tblGrid>
      <w:tr w:rsidR="003D5C93" w14:paraId="5903F21E" w14:textId="77777777" w:rsidTr="00AD66BA">
        <w:tc>
          <w:tcPr>
            <w:tcW w:w="1838" w:type="dxa"/>
            <w:shd w:val="clear" w:color="auto" w:fill="D9D9D9" w:themeFill="background1" w:themeFillShade="D9"/>
          </w:tcPr>
          <w:p w14:paraId="366A54FA" w14:textId="77777777" w:rsidR="003D5C93" w:rsidRDefault="003D5C93" w:rsidP="00AD66BA">
            <w:pPr>
              <w:rPr>
                <w:b/>
                <w:bCs/>
              </w:rPr>
            </w:pPr>
            <w:r>
              <w:rPr>
                <w:b/>
                <w:bCs/>
              </w:rPr>
              <w:t>Company</w:t>
            </w:r>
          </w:p>
        </w:tc>
        <w:tc>
          <w:tcPr>
            <w:tcW w:w="7796" w:type="dxa"/>
            <w:shd w:val="clear" w:color="auto" w:fill="D9D9D9" w:themeFill="background1" w:themeFillShade="D9"/>
          </w:tcPr>
          <w:p w14:paraId="284ACF6B" w14:textId="77777777" w:rsidR="003D5C93" w:rsidRDefault="003D5C93" w:rsidP="00AD66BA">
            <w:pPr>
              <w:rPr>
                <w:b/>
                <w:bCs/>
              </w:rPr>
            </w:pPr>
            <w:r>
              <w:rPr>
                <w:b/>
                <w:bCs/>
              </w:rPr>
              <w:t>Comments</w:t>
            </w:r>
          </w:p>
        </w:tc>
      </w:tr>
      <w:tr w:rsidR="003D5C93" w14:paraId="12A107D8" w14:textId="77777777" w:rsidTr="00AD66BA">
        <w:tc>
          <w:tcPr>
            <w:tcW w:w="1838" w:type="dxa"/>
          </w:tcPr>
          <w:p w14:paraId="076C5639" w14:textId="64D9446E" w:rsidR="003D5C93" w:rsidRPr="00242F71" w:rsidRDefault="00242F71" w:rsidP="00AD66BA">
            <w:pPr>
              <w:rPr>
                <w:rFonts w:eastAsia="等线" w:hint="eastAsia"/>
                <w:lang w:val="en-US" w:eastAsia="zh-CN"/>
              </w:rPr>
            </w:pPr>
            <w:r>
              <w:rPr>
                <w:rFonts w:eastAsia="等线" w:hint="eastAsia"/>
                <w:lang w:val="en-US" w:eastAsia="zh-CN"/>
              </w:rPr>
              <w:t>S</w:t>
            </w:r>
            <w:r>
              <w:rPr>
                <w:rFonts w:eastAsia="等线"/>
                <w:lang w:val="en-US" w:eastAsia="zh-CN"/>
              </w:rPr>
              <w:t xml:space="preserve">amsung </w:t>
            </w:r>
          </w:p>
        </w:tc>
        <w:tc>
          <w:tcPr>
            <w:tcW w:w="7796" w:type="dxa"/>
          </w:tcPr>
          <w:p w14:paraId="62347CB5" w14:textId="01E61C62" w:rsidR="003D5C93" w:rsidRPr="00242F71" w:rsidRDefault="00242F71" w:rsidP="00AD66BA">
            <w:pPr>
              <w:rPr>
                <w:rFonts w:eastAsia="等线" w:hint="eastAsia"/>
                <w:lang w:val="en-US" w:eastAsia="zh-CN"/>
              </w:rPr>
            </w:pPr>
            <w:r>
              <w:rPr>
                <w:rFonts w:eastAsia="等线" w:hint="eastAsia"/>
                <w:lang w:val="en-US" w:eastAsia="zh-CN"/>
              </w:rPr>
              <w:t>Y</w:t>
            </w:r>
            <w:r>
              <w:rPr>
                <w:rFonts w:eastAsia="等线"/>
                <w:lang w:val="en-US" w:eastAsia="zh-CN"/>
              </w:rPr>
              <w:t>es</w:t>
            </w:r>
          </w:p>
        </w:tc>
      </w:tr>
      <w:tr w:rsidR="003D5C93" w:rsidRPr="008E3AB5" w14:paraId="1EEA7DA7" w14:textId="77777777" w:rsidTr="00AD66BA">
        <w:tc>
          <w:tcPr>
            <w:tcW w:w="1838" w:type="dxa"/>
          </w:tcPr>
          <w:p w14:paraId="46B6A603" w14:textId="77777777" w:rsidR="003D5C93" w:rsidRDefault="003D5C93" w:rsidP="00AD66BA">
            <w:pPr>
              <w:rPr>
                <w:lang w:val="en-US" w:eastAsia="ko-KR"/>
              </w:rPr>
            </w:pPr>
          </w:p>
        </w:tc>
        <w:tc>
          <w:tcPr>
            <w:tcW w:w="7796" w:type="dxa"/>
          </w:tcPr>
          <w:p w14:paraId="680B91EF" w14:textId="77777777" w:rsidR="003D5C93" w:rsidRPr="008E3AB5" w:rsidRDefault="003D5C93" w:rsidP="00AD66BA">
            <w:pPr>
              <w:rPr>
                <w:lang w:val="en-US"/>
              </w:rPr>
            </w:pPr>
          </w:p>
        </w:tc>
      </w:tr>
      <w:tr w:rsidR="003D5C93" w:rsidRPr="008E3AB5" w14:paraId="467E98B9" w14:textId="77777777" w:rsidTr="00AD66BA">
        <w:tc>
          <w:tcPr>
            <w:tcW w:w="1838" w:type="dxa"/>
          </w:tcPr>
          <w:p w14:paraId="24E344DD" w14:textId="77777777" w:rsidR="003D5C93" w:rsidRDefault="003D5C93" w:rsidP="00AD66BA">
            <w:pPr>
              <w:rPr>
                <w:lang w:val="en-US" w:eastAsia="ko-KR"/>
              </w:rPr>
            </w:pPr>
          </w:p>
        </w:tc>
        <w:tc>
          <w:tcPr>
            <w:tcW w:w="7796" w:type="dxa"/>
          </w:tcPr>
          <w:p w14:paraId="3DD599EB" w14:textId="77777777" w:rsidR="003D5C93" w:rsidRPr="008E3AB5" w:rsidRDefault="003D5C93" w:rsidP="00AD66BA">
            <w:pPr>
              <w:rPr>
                <w:lang w:val="en-US"/>
              </w:rPr>
            </w:pPr>
          </w:p>
        </w:tc>
      </w:tr>
    </w:tbl>
    <w:p w14:paraId="0E898598" w14:textId="76682C51" w:rsidR="003B254E" w:rsidRDefault="003B254E" w:rsidP="003A602A">
      <w:pPr>
        <w:rPr>
          <w:lang w:val="en-US"/>
        </w:rPr>
      </w:pPr>
    </w:p>
    <w:p w14:paraId="157919C9" w14:textId="299377C3" w:rsidR="008434B2" w:rsidRDefault="008434B2" w:rsidP="003A602A">
      <w:pPr>
        <w:rPr>
          <w:b/>
          <w:bCs/>
        </w:rPr>
      </w:pPr>
      <w:r w:rsidRPr="002943CE">
        <w:rPr>
          <w:b/>
          <w:bCs/>
        </w:rPr>
        <w:t>Q</w:t>
      </w:r>
      <w:r>
        <w:rPr>
          <w:b/>
          <w:bCs/>
        </w:rPr>
        <w:t>uestion</w:t>
      </w:r>
      <w:r w:rsidRPr="002943CE">
        <w:rPr>
          <w:b/>
          <w:bCs/>
        </w:rPr>
        <w:t xml:space="preserve"> </w:t>
      </w:r>
      <w:r>
        <w:rPr>
          <w:b/>
          <w:bCs/>
        </w:rPr>
        <w:t>3-3c</w:t>
      </w:r>
      <w:r w:rsidRPr="002943CE">
        <w:rPr>
          <w:b/>
          <w:bCs/>
        </w:rPr>
        <w:t>:</w:t>
      </w:r>
      <w:r>
        <w:rPr>
          <w:b/>
          <w:bCs/>
        </w:rPr>
        <w:t xml:space="preserve"> Can </w:t>
      </w:r>
      <w:r w:rsidR="00DC2DB6">
        <w:rPr>
          <w:b/>
          <w:bCs/>
        </w:rPr>
        <w:t>C</w:t>
      </w:r>
      <w:r>
        <w:rPr>
          <w:b/>
          <w:bCs/>
        </w:rPr>
        <w:t>onfiguration</w:t>
      </w:r>
      <w:r w:rsidR="00DC2DB6">
        <w:rPr>
          <w:b/>
          <w:bCs/>
        </w:rPr>
        <w:t xml:space="preserve"> </w:t>
      </w:r>
      <w:r>
        <w:rPr>
          <w:b/>
          <w:bCs/>
        </w:rPr>
        <w:t>1 (</w:t>
      </w:r>
      <w:r w:rsidRPr="008434B2">
        <w:rPr>
          <w:b/>
          <w:bCs/>
        </w:rPr>
        <w:t>[0.5, 0.4, 0.05, 0.03, 0.02]</w:t>
      </w:r>
      <w:r>
        <w:rPr>
          <w:b/>
          <w:bCs/>
        </w:rPr>
        <w:t>) to be used for PDCCH blocking evaluation and other configuration(s) are left for company report?</w:t>
      </w:r>
    </w:p>
    <w:tbl>
      <w:tblPr>
        <w:tblStyle w:val="TableGrid"/>
        <w:tblW w:w="0" w:type="auto"/>
        <w:tblLook w:val="04A0" w:firstRow="1" w:lastRow="0" w:firstColumn="1" w:lastColumn="0" w:noHBand="0" w:noVBand="1"/>
      </w:tblPr>
      <w:tblGrid>
        <w:gridCol w:w="1480"/>
        <w:gridCol w:w="1350"/>
        <w:gridCol w:w="6800"/>
      </w:tblGrid>
      <w:tr w:rsidR="008434B2" w:rsidRPr="00B868D3" w14:paraId="5BAD680D" w14:textId="77777777" w:rsidTr="00C5221F">
        <w:tc>
          <w:tcPr>
            <w:tcW w:w="1480" w:type="dxa"/>
            <w:shd w:val="clear" w:color="auto" w:fill="D9D9D9" w:themeFill="background1" w:themeFillShade="D9"/>
          </w:tcPr>
          <w:p w14:paraId="67B0BB02" w14:textId="77777777" w:rsidR="008434B2" w:rsidRPr="00B868D3" w:rsidRDefault="008434B2" w:rsidP="00C5221F">
            <w:pPr>
              <w:rPr>
                <w:b/>
                <w:bCs/>
              </w:rPr>
            </w:pPr>
            <w:r w:rsidRPr="00B868D3">
              <w:rPr>
                <w:b/>
                <w:bCs/>
              </w:rPr>
              <w:t>Company</w:t>
            </w:r>
          </w:p>
        </w:tc>
        <w:tc>
          <w:tcPr>
            <w:tcW w:w="1350" w:type="dxa"/>
            <w:shd w:val="clear" w:color="auto" w:fill="D9D9D9" w:themeFill="background1" w:themeFillShade="D9"/>
          </w:tcPr>
          <w:p w14:paraId="02033171" w14:textId="77777777" w:rsidR="008434B2" w:rsidRPr="00B868D3" w:rsidRDefault="008434B2" w:rsidP="00C5221F">
            <w:pPr>
              <w:rPr>
                <w:b/>
                <w:bCs/>
              </w:rPr>
            </w:pPr>
            <w:r>
              <w:rPr>
                <w:b/>
                <w:bCs/>
              </w:rPr>
              <w:t>Agree (Y/N)</w:t>
            </w:r>
          </w:p>
        </w:tc>
        <w:tc>
          <w:tcPr>
            <w:tcW w:w="6800" w:type="dxa"/>
            <w:shd w:val="clear" w:color="auto" w:fill="D9D9D9" w:themeFill="background1" w:themeFillShade="D9"/>
          </w:tcPr>
          <w:p w14:paraId="4F8C7D3D" w14:textId="77777777" w:rsidR="008434B2" w:rsidRPr="00B868D3" w:rsidRDefault="008434B2" w:rsidP="00C5221F">
            <w:pPr>
              <w:rPr>
                <w:b/>
                <w:bCs/>
              </w:rPr>
            </w:pPr>
            <w:r w:rsidRPr="00B868D3">
              <w:rPr>
                <w:b/>
                <w:bCs/>
              </w:rPr>
              <w:t>Comments</w:t>
            </w:r>
          </w:p>
        </w:tc>
      </w:tr>
      <w:tr w:rsidR="00242F71" w:rsidRPr="00B868D3" w14:paraId="6EA65B1C" w14:textId="77777777" w:rsidTr="00C5221F">
        <w:trPr>
          <w:trHeight w:val="251"/>
        </w:trPr>
        <w:tc>
          <w:tcPr>
            <w:tcW w:w="1480" w:type="dxa"/>
          </w:tcPr>
          <w:p w14:paraId="267D91DE" w14:textId="3B18A19D" w:rsidR="00242F71" w:rsidRPr="00B868D3" w:rsidRDefault="00242F71" w:rsidP="00242F71">
            <w:pPr>
              <w:rPr>
                <w:lang w:val="en-US"/>
              </w:rPr>
            </w:pPr>
            <w:r>
              <w:rPr>
                <w:lang w:val="en-US"/>
              </w:rPr>
              <w:t>Samsung</w:t>
            </w:r>
          </w:p>
        </w:tc>
        <w:tc>
          <w:tcPr>
            <w:tcW w:w="1350" w:type="dxa"/>
          </w:tcPr>
          <w:p w14:paraId="3A51AEA4" w14:textId="3AFCDC4D" w:rsidR="00242F71" w:rsidRPr="00B868D3" w:rsidRDefault="00242F71" w:rsidP="00242F71">
            <w:pPr>
              <w:rPr>
                <w:lang w:val="en-US"/>
              </w:rPr>
            </w:pPr>
            <w:r>
              <w:rPr>
                <w:lang w:val="en-US"/>
              </w:rPr>
              <w:t>N</w:t>
            </w:r>
          </w:p>
        </w:tc>
        <w:tc>
          <w:tcPr>
            <w:tcW w:w="6800" w:type="dxa"/>
          </w:tcPr>
          <w:p w14:paraId="6AA59DDF" w14:textId="119C4EC4" w:rsidR="00242F71" w:rsidRPr="00B868D3" w:rsidRDefault="00242F71" w:rsidP="00242F71">
            <w:pPr>
              <w:rPr>
                <w:lang w:val="en-US"/>
              </w:rPr>
            </w:pPr>
            <w:r>
              <w:rPr>
                <w:lang w:val="en-US"/>
              </w:rPr>
              <w:t xml:space="preserve">Configuration 1 seems to be too ideal. We think it’s better to prioritize Configuration 2 than configuration 1. </w:t>
            </w:r>
          </w:p>
        </w:tc>
      </w:tr>
      <w:tr w:rsidR="00242F71" w:rsidRPr="00B868D3" w14:paraId="7B2AC5BF" w14:textId="77777777" w:rsidTr="00C5221F">
        <w:tc>
          <w:tcPr>
            <w:tcW w:w="1480" w:type="dxa"/>
          </w:tcPr>
          <w:p w14:paraId="7F023EF9" w14:textId="63E2F42B" w:rsidR="00242F71" w:rsidRPr="00B868D3" w:rsidRDefault="00242F71" w:rsidP="00242F71">
            <w:pPr>
              <w:rPr>
                <w:lang w:val="en-US"/>
              </w:rPr>
            </w:pPr>
          </w:p>
        </w:tc>
        <w:tc>
          <w:tcPr>
            <w:tcW w:w="1350" w:type="dxa"/>
          </w:tcPr>
          <w:p w14:paraId="1436D5C3" w14:textId="73525D3A" w:rsidR="00242F71" w:rsidRPr="00B868D3" w:rsidRDefault="00242F71" w:rsidP="00242F71">
            <w:pPr>
              <w:rPr>
                <w:lang w:val="en-US"/>
              </w:rPr>
            </w:pPr>
          </w:p>
        </w:tc>
        <w:tc>
          <w:tcPr>
            <w:tcW w:w="6800" w:type="dxa"/>
          </w:tcPr>
          <w:p w14:paraId="16B364B2" w14:textId="3ABB06F3" w:rsidR="00242F71" w:rsidRPr="00B868D3" w:rsidRDefault="00242F71" w:rsidP="00242F71">
            <w:pPr>
              <w:rPr>
                <w:lang w:val="en-US"/>
              </w:rPr>
            </w:pPr>
          </w:p>
        </w:tc>
      </w:tr>
      <w:tr w:rsidR="00242F71" w:rsidRPr="00B868D3" w14:paraId="2EBD1B6E" w14:textId="77777777" w:rsidTr="00C5221F">
        <w:tc>
          <w:tcPr>
            <w:tcW w:w="1480" w:type="dxa"/>
          </w:tcPr>
          <w:p w14:paraId="32F11C5C" w14:textId="14BE01BF" w:rsidR="00242F71" w:rsidRPr="00B868D3" w:rsidRDefault="00242F71" w:rsidP="00242F71">
            <w:pPr>
              <w:rPr>
                <w:lang w:val="en-US"/>
              </w:rPr>
            </w:pPr>
          </w:p>
        </w:tc>
        <w:tc>
          <w:tcPr>
            <w:tcW w:w="1350" w:type="dxa"/>
          </w:tcPr>
          <w:p w14:paraId="66D9C585" w14:textId="77777777" w:rsidR="00242F71" w:rsidRPr="00B868D3" w:rsidRDefault="00242F71" w:rsidP="00242F71">
            <w:pPr>
              <w:rPr>
                <w:lang w:val="en-US"/>
              </w:rPr>
            </w:pPr>
          </w:p>
        </w:tc>
        <w:tc>
          <w:tcPr>
            <w:tcW w:w="6800" w:type="dxa"/>
          </w:tcPr>
          <w:p w14:paraId="4DD2E58C" w14:textId="1131B35F" w:rsidR="00242F71" w:rsidRPr="00B868D3" w:rsidRDefault="00242F71" w:rsidP="00242F71">
            <w:pPr>
              <w:rPr>
                <w:lang w:val="en-US"/>
              </w:rPr>
            </w:pPr>
            <w:r>
              <w:rPr>
                <w:rFonts w:eastAsia="等线"/>
                <w:lang w:val="en-US" w:eastAsia="zh-CN"/>
              </w:rPr>
              <w:t xml:space="preserve"> </w:t>
            </w:r>
          </w:p>
        </w:tc>
      </w:tr>
      <w:tr w:rsidR="00242F71" w14:paraId="3004F3D8" w14:textId="77777777" w:rsidTr="00C5221F">
        <w:tc>
          <w:tcPr>
            <w:tcW w:w="1480" w:type="dxa"/>
          </w:tcPr>
          <w:p w14:paraId="27D21032" w14:textId="5855B3FB" w:rsidR="00242F71" w:rsidRDefault="00242F71" w:rsidP="00242F71">
            <w:pPr>
              <w:rPr>
                <w:rFonts w:eastAsia="等线"/>
                <w:lang w:val="en-US" w:eastAsia="zh-CN"/>
              </w:rPr>
            </w:pPr>
          </w:p>
        </w:tc>
        <w:tc>
          <w:tcPr>
            <w:tcW w:w="1350" w:type="dxa"/>
          </w:tcPr>
          <w:p w14:paraId="40C421B6" w14:textId="1075C5CB" w:rsidR="00242F71" w:rsidRPr="00B868D3" w:rsidRDefault="00242F71" w:rsidP="00242F71">
            <w:pPr>
              <w:rPr>
                <w:lang w:val="en-US"/>
              </w:rPr>
            </w:pPr>
          </w:p>
        </w:tc>
        <w:tc>
          <w:tcPr>
            <w:tcW w:w="6800" w:type="dxa"/>
          </w:tcPr>
          <w:p w14:paraId="3F4E0AE6" w14:textId="77777777" w:rsidR="00242F71" w:rsidRDefault="00242F71" w:rsidP="00242F71">
            <w:pPr>
              <w:rPr>
                <w:rFonts w:eastAsia="等线"/>
                <w:lang w:val="en-US" w:eastAsia="zh-CN"/>
              </w:rPr>
            </w:pPr>
          </w:p>
        </w:tc>
      </w:tr>
    </w:tbl>
    <w:p w14:paraId="5B11F6FA" w14:textId="77777777" w:rsidR="008434B2" w:rsidRDefault="008434B2" w:rsidP="003A602A">
      <w:pPr>
        <w:rPr>
          <w:lang w:val="en-US"/>
        </w:rPr>
      </w:pPr>
    </w:p>
    <w:p w14:paraId="6441AAE4" w14:textId="02BD1491" w:rsidR="00503D6B" w:rsidRDefault="00503D6B" w:rsidP="00503D6B">
      <w:pPr>
        <w:pStyle w:val="Heading1"/>
      </w:pPr>
      <w:r>
        <w:t>4</w:t>
      </w:r>
      <w:r>
        <w:tab/>
        <w:t>Template for coverage recovery evaluation</w:t>
      </w:r>
    </w:p>
    <w:bookmarkEnd w:id="5"/>
    <w:bookmarkEnd w:id="6"/>
    <w:bookmarkEnd w:id="7"/>
    <w:p w14:paraId="515386DD" w14:textId="49C984C0" w:rsidR="00175FDD" w:rsidRDefault="0090705F" w:rsidP="00175FDD">
      <w:pPr>
        <w:jc w:val="both"/>
        <w:rPr>
          <w:lang w:val="en-US"/>
        </w:rPr>
      </w:pPr>
      <w:r>
        <w:rPr>
          <w:lang w:val="en-US"/>
        </w:rPr>
        <w:t>U</w:t>
      </w:r>
      <w:r w:rsidR="00175FDD">
        <w:rPr>
          <w:lang w:val="en-US"/>
        </w:rPr>
        <w:t>pdated draft templates are provided in:</w:t>
      </w:r>
    </w:p>
    <w:p w14:paraId="71960F6E" w14:textId="77777777" w:rsidR="003B254E" w:rsidRPr="00E048AA" w:rsidRDefault="003B254E" w:rsidP="003B254E">
      <w:pPr>
        <w:pStyle w:val="ListParagraph"/>
        <w:numPr>
          <w:ilvl w:val="0"/>
          <w:numId w:val="6"/>
        </w:numPr>
        <w:jc w:val="both"/>
        <w:rPr>
          <w:rStyle w:val="Hyperlink"/>
          <w:color w:val="auto"/>
          <w:sz w:val="20"/>
          <w:szCs w:val="22"/>
          <w:u w:val="none"/>
          <w:lang w:val="en-US"/>
        </w:rPr>
      </w:pPr>
      <w:r>
        <w:rPr>
          <w:sz w:val="20"/>
          <w:szCs w:val="22"/>
        </w:rPr>
        <w:t xml:space="preserve">Rural 700 MHz: </w:t>
      </w:r>
      <w:hyperlink r:id="rId19" w:history="1">
        <w:r>
          <w:rPr>
            <w:rStyle w:val="Hyperlink"/>
            <w:sz w:val="20"/>
            <w:szCs w:val="22"/>
          </w:rPr>
          <w:t>RedCapCoverageTemplate-Rural700MHz-v002.xlsx</w:t>
        </w:r>
      </w:hyperlink>
    </w:p>
    <w:p w14:paraId="24DAEEDE" w14:textId="77777777" w:rsidR="003B254E" w:rsidRPr="00E048AA" w:rsidRDefault="003B254E" w:rsidP="003B254E">
      <w:pPr>
        <w:pStyle w:val="ListParagraph"/>
        <w:numPr>
          <w:ilvl w:val="0"/>
          <w:numId w:val="6"/>
        </w:numPr>
        <w:jc w:val="both"/>
        <w:rPr>
          <w:sz w:val="20"/>
          <w:szCs w:val="22"/>
          <w:lang w:val="en-US"/>
        </w:rPr>
      </w:pPr>
      <w:r>
        <w:rPr>
          <w:sz w:val="20"/>
          <w:szCs w:val="22"/>
        </w:rPr>
        <w:t xml:space="preserve">Urban 2.6 GHz: </w:t>
      </w:r>
      <w:hyperlink r:id="rId20" w:history="1">
        <w:r w:rsidRPr="00E048AA">
          <w:rPr>
            <w:rStyle w:val="Hyperlink"/>
            <w:sz w:val="20"/>
            <w:szCs w:val="22"/>
          </w:rPr>
          <w:t>RedCapCoverageTemplate-Urban2.6GHz-v00</w:t>
        </w:r>
        <w:r>
          <w:rPr>
            <w:rStyle w:val="Hyperlink"/>
            <w:sz w:val="20"/>
            <w:szCs w:val="22"/>
          </w:rPr>
          <w:t>2</w:t>
        </w:r>
        <w:r w:rsidRPr="00E048AA">
          <w:rPr>
            <w:rStyle w:val="Hyperlink"/>
            <w:sz w:val="20"/>
            <w:szCs w:val="22"/>
          </w:rPr>
          <w:t>.xlsx</w:t>
        </w:r>
      </w:hyperlink>
    </w:p>
    <w:p w14:paraId="7E0A7085" w14:textId="77777777" w:rsidR="003B254E" w:rsidRPr="00E048AA" w:rsidRDefault="003B254E" w:rsidP="003B254E">
      <w:pPr>
        <w:pStyle w:val="ListParagraph"/>
        <w:numPr>
          <w:ilvl w:val="0"/>
          <w:numId w:val="6"/>
        </w:numPr>
        <w:jc w:val="both"/>
        <w:rPr>
          <w:sz w:val="20"/>
          <w:szCs w:val="22"/>
          <w:lang w:val="en-US"/>
        </w:rPr>
      </w:pPr>
      <w:r>
        <w:rPr>
          <w:sz w:val="20"/>
          <w:szCs w:val="22"/>
        </w:rPr>
        <w:t xml:space="preserve">Urban 4 GHz: </w:t>
      </w:r>
      <w:hyperlink r:id="rId21" w:history="1">
        <w:r>
          <w:rPr>
            <w:rStyle w:val="Hyperlink"/>
            <w:sz w:val="20"/>
            <w:szCs w:val="22"/>
          </w:rPr>
          <w:t>RedCapCoverageTemplate-Urban4GHz-v002.xlsx</w:t>
        </w:r>
      </w:hyperlink>
    </w:p>
    <w:p w14:paraId="718B8F28" w14:textId="77777777" w:rsidR="003B254E" w:rsidRPr="00E048AA" w:rsidRDefault="003B254E" w:rsidP="003B254E">
      <w:pPr>
        <w:pStyle w:val="ListParagraph"/>
        <w:numPr>
          <w:ilvl w:val="0"/>
          <w:numId w:val="6"/>
        </w:numPr>
        <w:jc w:val="both"/>
        <w:rPr>
          <w:sz w:val="20"/>
          <w:szCs w:val="22"/>
          <w:lang w:val="en-US"/>
        </w:rPr>
      </w:pPr>
      <w:r>
        <w:rPr>
          <w:sz w:val="20"/>
          <w:szCs w:val="22"/>
        </w:rPr>
        <w:t xml:space="preserve">Indoor 28 GHz: </w:t>
      </w:r>
      <w:hyperlink r:id="rId22" w:history="1">
        <w:r>
          <w:rPr>
            <w:rStyle w:val="Hyperlink"/>
            <w:sz w:val="20"/>
            <w:szCs w:val="22"/>
          </w:rPr>
          <w:t>RedCapCoverageTemplate-Indoor28GHz-v002.xlsx</w:t>
        </w:r>
      </w:hyperlink>
    </w:p>
    <w:p w14:paraId="11FFE0A7" w14:textId="77777777" w:rsidR="003B254E" w:rsidRDefault="003B254E" w:rsidP="003B254E">
      <w:pPr>
        <w:jc w:val="both"/>
        <w:rPr>
          <w:rFonts w:eastAsia="Times New Roman"/>
        </w:rPr>
      </w:pPr>
      <w:r>
        <w:rPr>
          <w:lang w:val="en-US"/>
        </w:rPr>
        <w:lastRenderedPageBreak/>
        <w:t xml:space="preserve">On each of the templates, the first two tabs (one for the reference UE and the other for RedCap UE) describe where the assumptions come from and </w:t>
      </w:r>
      <w:r>
        <w:rPr>
          <w:rFonts w:eastAsia="Times New Roman"/>
        </w:rPr>
        <w:t>the following tabs are used to collect results for the concerned channel and message that will be captured to the TR. On the tabs for collecting results, the first column contains the reference UE case, followed by one or two columns for the RedCap case. Currently, only examples are provided for reference.</w:t>
      </w:r>
    </w:p>
    <w:p w14:paraId="205A2888" w14:textId="77777777" w:rsidR="003B254E" w:rsidRDefault="003B254E" w:rsidP="003B254E">
      <w:pPr>
        <w:jc w:val="both"/>
        <w:rPr>
          <w:lang w:val="en-US"/>
        </w:rPr>
      </w:pPr>
      <w:r>
        <w:rPr>
          <w:lang w:val="en-US"/>
        </w:rPr>
        <w:t>In the link budget template, some parameters have been assigned with specific values which are based on the CE SI and RedCap agreements. It is assumed that company is not required to change the values for these parameters. The parameters that are supported to be changed are highlight with orange color.</w:t>
      </w:r>
    </w:p>
    <w:p w14:paraId="3DD1B648" w14:textId="77777777" w:rsidR="003B254E" w:rsidRDefault="003B254E" w:rsidP="003B254E">
      <w:pPr>
        <w:jc w:val="both"/>
        <w:rPr>
          <w:lang w:val="en-US"/>
        </w:rPr>
      </w:pPr>
      <w:r>
        <w:rPr>
          <w:lang w:val="en-US"/>
        </w:rPr>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gNB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314ACFEF" w14:textId="77777777" w:rsidR="003B254E" w:rsidRDefault="003B254E" w:rsidP="003B254E">
      <w:pPr>
        <w:jc w:val="both"/>
        <w:rPr>
          <w:lang w:val="en-US"/>
        </w:rPr>
      </w:pPr>
      <w:r>
        <w:rPr>
          <w:lang w:val="en-US"/>
        </w:rPr>
        <w:t>Regarding rows (</w:t>
      </w:r>
      <w:r>
        <w:rPr>
          <w:rFonts w:eastAsia="等线"/>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等线"/>
          <w:lang w:val="en-US" w:eastAsia="zh-CN"/>
        </w:rPr>
        <w:t>he values used in IMT-2020 (channel model A) for the O-to-I scenario is provided here as a reference</w:t>
      </w:r>
      <w:r>
        <w:rPr>
          <w:rFonts w:eastAsia="等线"/>
          <w:lang w:val="en-US" w:eastAsia="zh-CN"/>
        </w:rPr>
        <w:t xml:space="preserve">, and for FR2, zero values are used due to no reference in the IMT-2020 self-evaluation. </w:t>
      </w:r>
    </w:p>
    <w:p w14:paraId="1E17CD42" w14:textId="77777777" w:rsidR="003B254E" w:rsidRDefault="003B254E" w:rsidP="003B254E">
      <w:pPr>
        <w:jc w:val="both"/>
        <w:rPr>
          <w:lang w:val="en-US"/>
        </w:rPr>
      </w:pPr>
      <w:r>
        <w:rPr>
          <w:lang w:val="en-US"/>
        </w:rPr>
        <w:t>For FR2, based on the CE SI agreement, single panel with total 8 antenna elements, i.e. (M, N, P) = (2,2,2) is used for LLS. However, there is no discussion on the number of antenna elements for RedCap UE. The FL recommendation is to reuse the same array structure for RedCap. In case of single Tx or Rx chain, only the antenna elements in one polarization is used, i.e. 4 instead of 8. Companies are invited to provide their views on this issue.</w:t>
      </w:r>
    </w:p>
    <w:p w14:paraId="122A10C1" w14:textId="759E9B48" w:rsidR="003B254E" w:rsidRPr="00CC12AF" w:rsidRDefault="003B254E" w:rsidP="003B254E">
      <w:pPr>
        <w:jc w:val="both"/>
        <w:rPr>
          <w:b/>
          <w:bCs/>
          <w:lang w:val="en-US"/>
        </w:rPr>
      </w:pPr>
      <w:r w:rsidRPr="00DD2AA8">
        <w:rPr>
          <w:b/>
          <w:bCs/>
          <w:highlight w:val="cyan"/>
          <w:lang w:val="en-US"/>
        </w:rPr>
        <w:t>Summary of the 2</w:t>
      </w:r>
      <w:r w:rsidRPr="00DD2AA8">
        <w:rPr>
          <w:b/>
          <w:bCs/>
          <w:highlight w:val="cyan"/>
          <w:vertAlign w:val="superscript"/>
          <w:lang w:val="en-US"/>
        </w:rPr>
        <w:t>nd</w:t>
      </w:r>
      <w:r w:rsidRPr="00DD2AA8">
        <w:rPr>
          <w:b/>
          <w:bCs/>
          <w:highlight w:val="cyan"/>
          <w:lang w:val="en-US"/>
        </w:rPr>
        <w:t xml:space="preserve"> round discussion</w:t>
      </w:r>
      <w:r w:rsidR="00B90408">
        <w:rPr>
          <w:b/>
          <w:bCs/>
          <w:highlight w:val="cyan"/>
          <w:lang w:val="en-US"/>
        </w:rPr>
        <w:t xml:space="preserve"> (see FS2)</w:t>
      </w:r>
      <w:r w:rsidRPr="00DD2AA8">
        <w:rPr>
          <w:b/>
          <w:bCs/>
          <w:highlight w:val="cyan"/>
          <w:lang w:val="en-US"/>
        </w:rPr>
        <w:t>:</w:t>
      </w:r>
    </w:p>
    <w:p w14:paraId="72D1834B"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Remove ”could vary across different physical channel” in the notes in row (5) and (11bis) - Huawei</w:t>
      </w:r>
    </w:p>
    <w:p w14:paraId="6AA6C383"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sidRPr="0078730D">
        <w:rPr>
          <w:sz w:val="20"/>
          <w:szCs w:val="22"/>
        </w:rPr>
        <w:t xml:space="preserve">The notes have been updated to address this issue in the latest link budget template v002. Companies are encouraged to check the rows. </w:t>
      </w:r>
    </w:p>
    <w:p w14:paraId="1AA76EC1" w14:textId="77777777" w:rsidR="003B254E" w:rsidRPr="0078730D" w:rsidRDefault="003B254E" w:rsidP="003B254E">
      <w:pPr>
        <w:pStyle w:val="ListParagraph"/>
        <w:jc w:val="both"/>
        <w:rPr>
          <w:sz w:val="20"/>
          <w:szCs w:val="22"/>
          <w:highlight w:val="cyan"/>
        </w:rPr>
      </w:pPr>
    </w:p>
    <w:p w14:paraId="2450A6C0"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Add a note to row (10bis) ”For FR1 DL, it is supposed to be equal to (10)” - Huawei</w:t>
      </w:r>
    </w:p>
    <w:p w14:paraId="4519D5E9"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Link budget template v002 has addressed this value. Companies are encouraged to check the rows</w:t>
      </w:r>
    </w:p>
    <w:p w14:paraId="0B303466" w14:textId="77777777" w:rsidR="003B254E" w:rsidRPr="0078730D" w:rsidRDefault="003B254E" w:rsidP="003B254E">
      <w:pPr>
        <w:pStyle w:val="ListParagraph"/>
        <w:jc w:val="both"/>
        <w:rPr>
          <w:sz w:val="20"/>
          <w:szCs w:val="22"/>
          <w:lang w:val="en-US"/>
        </w:rPr>
      </w:pPr>
    </w:p>
    <w:p w14:paraId="5356DDFB"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Use the same PSD value for both Urban 4GHz and 2.6GHz  - Huawei</w:t>
      </w:r>
    </w:p>
    <w:p w14:paraId="468ED77A"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According to the CE SI agreement, only 33dBm/MHz is considered for 2.6GHz while either 24 or 33 dBm/MHz is supported for 4GHz. If the same PSD value of 33dBm/MHz is used for both 2.6GHz and 4GHz, then the MCL/MIL difference is expected to be small. The usage of 24dBm/MHz for 4GHz allows to identify possible different bottleneck channels and provide full analysis for all the concered scenarios. However, in order to address the concern from the company, </w:t>
      </w:r>
      <w:r>
        <w:rPr>
          <w:sz w:val="20"/>
          <w:szCs w:val="22"/>
        </w:rPr>
        <w:t xml:space="preserve">the LB template is updated to allow the </w:t>
      </w:r>
      <w:r w:rsidRPr="0078730D">
        <w:rPr>
          <w:sz w:val="20"/>
          <w:szCs w:val="22"/>
        </w:rPr>
        <w:t>company to report the PSD value for 4GHz.</w:t>
      </w:r>
    </w:p>
    <w:p w14:paraId="70ED2F5F" w14:textId="77777777" w:rsidR="003B254E" w:rsidRPr="0078730D" w:rsidRDefault="003B254E" w:rsidP="003B254E">
      <w:pPr>
        <w:pStyle w:val="ListParagraph"/>
        <w:jc w:val="both"/>
        <w:rPr>
          <w:sz w:val="20"/>
          <w:szCs w:val="22"/>
        </w:rPr>
      </w:pPr>
    </w:p>
    <w:p w14:paraId="563F375C" w14:textId="5631BAFA"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The noise figur</w:t>
      </w:r>
      <w:r>
        <w:rPr>
          <w:b/>
          <w:sz w:val="20"/>
          <w:szCs w:val="22"/>
          <w:u w:val="single"/>
        </w:rPr>
        <w:t>e</w:t>
      </w:r>
      <w:r w:rsidRPr="0078730D">
        <w:rPr>
          <w:b/>
          <w:sz w:val="20"/>
          <w:szCs w:val="22"/>
          <w:u w:val="single"/>
        </w:rPr>
        <w:t xml:space="preserve"> values </w:t>
      </w:r>
      <w:r w:rsidR="00B90408">
        <w:rPr>
          <w:b/>
          <w:sz w:val="20"/>
          <w:szCs w:val="22"/>
          <w:u w:val="single"/>
        </w:rPr>
        <w:t xml:space="preserve">for FR2 </w:t>
      </w:r>
      <w:r w:rsidRPr="0078730D">
        <w:rPr>
          <w:b/>
          <w:sz w:val="20"/>
          <w:szCs w:val="22"/>
          <w:u w:val="single"/>
        </w:rPr>
        <w:t>in row (13) changed to 10dB for UE and 7dB for gNB according to ITU-R M.2412-0  - Huawei</w:t>
      </w:r>
    </w:p>
    <w:p w14:paraId="523BBB55" w14:textId="78B637F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There is no agreement on the noise figures in RAN1. The IMT-2020 evaluation uses 7dB for UE and 5dB for gNB for FR1 link budget analysis. The FL recommendation is to align the assumption used in the CE SI to </w:t>
      </w:r>
      <w:r w:rsidRPr="0078730D">
        <w:rPr>
          <w:rFonts w:eastAsia="等线"/>
          <w:sz w:val="20"/>
          <w:szCs w:val="22"/>
          <w:lang w:val="en-US" w:eastAsia="zh-CN"/>
        </w:rPr>
        <w:t xml:space="preserve">avoid divergence and repetition of discussions. </w:t>
      </w:r>
      <w:r w:rsidR="00592F8A">
        <w:rPr>
          <w:rFonts w:eastAsia="等线"/>
          <w:sz w:val="20"/>
          <w:szCs w:val="22"/>
          <w:lang w:val="en-US" w:eastAsia="zh-CN"/>
        </w:rPr>
        <w:t>The note in row (13) has been updated to address this issue.</w:t>
      </w:r>
    </w:p>
    <w:p w14:paraId="588E8FD5" w14:textId="77777777" w:rsidR="003B254E" w:rsidRPr="0078730D" w:rsidRDefault="003B254E" w:rsidP="003B254E">
      <w:pPr>
        <w:pStyle w:val="ListParagraph"/>
        <w:jc w:val="both"/>
        <w:rPr>
          <w:sz w:val="20"/>
          <w:szCs w:val="22"/>
        </w:rPr>
      </w:pPr>
    </w:p>
    <w:p w14:paraId="7030C40E" w14:textId="77777777" w:rsidR="003B254E" w:rsidRPr="0078730D" w:rsidRDefault="003B254E" w:rsidP="003B254E">
      <w:pPr>
        <w:pStyle w:val="ListParagraph"/>
        <w:numPr>
          <w:ilvl w:val="1"/>
          <w:numId w:val="13"/>
        </w:numPr>
        <w:jc w:val="both"/>
        <w:rPr>
          <w:b/>
          <w:sz w:val="20"/>
          <w:szCs w:val="22"/>
          <w:u w:val="single"/>
        </w:rPr>
      </w:pPr>
      <w:r w:rsidRPr="0078730D">
        <w:rPr>
          <w:b/>
          <w:sz w:val="20"/>
          <w:szCs w:val="22"/>
          <w:u w:val="single"/>
        </w:rPr>
        <w:t>The values of row (5) and (11bis) for FR2 can be reported by the companies - vivo</w:t>
      </w:r>
    </w:p>
    <w:p w14:paraId="19DE3996" w14:textId="77777777"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Link budget template v002 has addressed this value. Companies are encouraged to check the rows</w:t>
      </w:r>
    </w:p>
    <w:p w14:paraId="7D53E390" w14:textId="77777777" w:rsidR="003B254E" w:rsidRDefault="003B254E" w:rsidP="003B254E">
      <w:pPr>
        <w:pStyle w:val="ListParagraph"/>
        <w:jc w:val="both"/>
        <w:rPr>
          <w:sz w:val="20"/>
          <w:szCs w:val="22"/>
        </w:rPr>
      </w:pPr>
    </w:p>
    <w:p w14:paraId="164E14BC"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Make the 4GHz Urban as the optoinal scenario - ZTE</w:t>
      </w:r>
    </w:p>
    <w:p w14:paraId="4C7E28DE" w14:textId="77777777" w:rsidR="003B254E" w:rsidRPr="0078730D"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There is a note in the LB template to clarify that 4GHz is the</w:t>
      </w:r>
      <w:r w:rsidRPr="00FC674A">
        <w:rPr>
          <w:sz w:val="20"/>
          <w:szCs w:val="22"/>
        </w:rPr>
        <w:t xml:space="preserve"> </w:t>
      </w:r>
      <w:r>
        <w:rPr>
          <w:sz w:val="20"/>
          <w:szCs w:val="22"/>
        </w:rPr>
        <w:t>second</w:t>
      </w:r>
      <w:r w:rsidRPr="00FC674A">
        <w:rPr>
          <w:sz w:val="20"/>
          <w:szCs w:val="22"/>
        </w:rPr>
        <w:t xml:space="preserve"> choice for FR1 TDD</w:t>
      </w:r>
      <w:r>
        <w:rPr>
          <w:sz w:val="20"/>
          <w:szCs w:val="22"/>
        </w:rPr>
        <w:t>.</w:t>
      </w:r>
    </w:p>
    <w:p w14:paraId="1EF2ABCF" w14:textId="77777777" w:rsidR="003B254E" w:rsidRPr="0078730D" w:rsidRDefault="003B254E" w:rsidP="003B254E">
      <w:pPr>
        <w:pStyle w:val="ListParagraph"/>
        <w:jc w:val="both"/>
        <w:rPr>
          <w:sz w:val="20"/>
          <w:szCs w:val="22"/>
        </w:rPr>
      </w:pPr>
    </w:p>
    <w:p w14:paraId="5EB5F1E6"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Clarify h</w:t>
      </w:r>
      <w:r w:rsidRPr="006D0FB0">
        <w:rPr>
          <w:b/>
          <w:sz w:val="20"/>
          <w:szCs w:val="22"/>
          <w:u w:val="single"/>
        </w:rPr>
        <w:t>ow simulation results for Urban 700MHz are provided/collected and whether the same table can be reused</w:t>
      </w:r>
      <w:r>
        <w:rPr>
          <w:b/>
          <w:sz w:val="20"/>
          <w:szCs w:val="22"/>
          <w:u w:val="single"/>
        </w:rPr>
        <w:t xml:space="preserve"> </w:t>
      </w:r>
      <w:r w:rsidRPr="0078730D">
        <w:rPr>
          <w:b/>
          <w:sz w:val="20"/>
          <w:szCs w:val="22"/>
          <w:u w:val="single"/>
        </w:rPr>
        <w:t>- Huawei</w:t>
      </w:r>
    </w:p>
    <w:p w14:paraId="050DEC42" w14:textId="5FC19D04"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 FDD bands in Urban has been discussed in ”</w:t>
      </w:r>
      <w:r w:rsidRPr="006D0FB0">
        <w:t xml:space="preserve"> </w:t>
      </w:r>
      <w:r w:rsidRPr="006D0FB0">
        <w:rPr>
          <w:sz w:val="20"/>
          <w:szCs w:val="22"/>
        </w:rPr>
        <w:t>[102-e-NR-RedCap-03] Coverage recovery and capacity impact for NR RedCap</w:t>
      </w:r>
      <w:r>
        <w:rPr>
          <w:sz w:val="20"/>
          <w:szCs w:val="22"/>
        </w:rPr>
        <w:t>” with</w:t>
      </w:r>
      <w:r w:rsidR="00B90408">
        <w:rPr>
          <w:sz w:val="20"/>
          <w:szCs w:val="22"/>
        </w:rPr>
        <w:t xml:space="preserve"> no agreement</w:t>
      </w:r>
      <w:r>
        <w:rPr>
          <w:sz w:val="20"/>
          <w:szCs w:val="22"/>
        </w:rPr>
        <w:t xml:space="preserve">. The FL recommendation is to firstly collect the coverage evaluation results firstly for the </w:t>
      </w:r>
      <w:r w:rsidR="00B90408">
        <w:rPr>
          <w:sz w:val="20"/>
          <w:szCs w:val="22"/>
        </w:rPr>
        <w:t>4</w:t>
      </w:r>
      <w:r>
        <w:rPr>
          <w:sz w:val="20"/>
          <w:szCs w:val="22"/>
        </w:rPr>
        <w:t xml:space="preserve"> concerned scenarios</w:t>
      </w:r>
      <w:r w:rsidR="00B90408">
        <w:rPr>
          <w:sz w:val="20"/>
          <w:szCs w:val="22"/>
        </w:rPr>
        <w:t xml:space="preserve"> and bands</w:t>
      </w:r>
      <w:r>
        <w:rPr>
          <w:sz w:val="20"/>
          <w:szCs w:val="22"/>
        </w:rPr>
        <w:t xml:space="preserve">, and companies are free to provide results for other scenarios and bands </w:t>
      </w:r>
      <w:r w:rsidRPr="00FC674A">
        <w:rPr>
          <w:sz w:val="20"/>
          <w:szCs w:val="22"/>
        </w:rPr>
        <w:t>in their contributions to RAN1#103-e</w:t>
      </w:r>
      <w:r>
        <w:rPr>
          <w:sz w:val="20"/>
          <w:szCs w:val="22"/>
        </w:rPr>
        <w:t>.</w:t>
      </w:r>
    </w:p>
    <w:p w14:paraId="022D6271" w14:textId="77777777" w:rsidR="003B254E" w:rsidRDefault="003B254E" w:rsidP="003B254E">
      <w:pPr>
        <w:pStyle w:val="ListParagraph"/>
        <w:jc w:val="both"/>
      </w:pPr>
    </w:p>
    <w:p w14:paraId="222640F3"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 xml:space="preserve">The in-car peneration loss is modeled in the same way </w:t>
      </w:r>
      <w:r w:rsidRPr="00FC674A">
        <w:rPr>
          <w:b/>
          <w:sz w:val="20"/>
          <w:szCs w:val="22"/>
          <w:u w:val="single"/>
        </w:rPr>
        <w:t>as Table A.2.2-1 of TR 38.802</w:t>
      </w:r>
      <w:r>
        <w:rPr>
          <w:b/>
          <w:sz w:val="20"/>
          <w:szCs w:val="22"/>
          <w:u w:val="single"/>
        </w:rPr>
        <w:t xml:space="preserve"> - Qualcomm</w:t>
      </w:r>
    </w:p>
    <w:p w14:paraId="30967117" w14:textId="77777777"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 xml:space="preserve">In the LB template, the value of the peneration loss can be reported by company. </w:t>
      </w:r>
      <w:r w:rsidRPr="00FC674A">
        <w:rPr>
          <w:sz w:val="20"/>
          <w:szCs w:val="22"/>
        </w:rPr>
        <w:t>From FL point of view, there is no issue to do so</w:t>
      </w:r>
      <w:r>
        <w:rPr>
          <w:sz w:val="20"/>
          <w:szCs w:val="22"/>
        </w:rPr>
        <w:t>.</w:t>
      </w:r>
    </w:p>
    <w:p w14:paraId="167D3C6D" w14:textId="77777777" w:rsidR="003B254E" w:rsidRDefault="003B254E" w:rsidP="003B254E">
      <w:pPr>
        <w:pStyle w:val="ListParagraph"/>
        <w:jc w:val="both"/>
        <w:rPr>
          <w:sz w:val="20"/>
          <w:szCs w:val="22"/>
        </w:rPr>
      </w:pPr>
    </w:p>
    <w:p w14:paraId="5D83D67F"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 xml:space="preserve">Align the LB template structure with the CE SI </w:t>
      </w:r>
      <w:r w:rsidRPr="0078730D">
        <w:rPr>
          <w:b/>
          <w:sz w:val="20"/>
          <w:szCs w:val="22"/>
          <w:u w:val="single"/>
        </w:rPr>
        <w:t xml:space="preserve">- </w:t>
      </w:r>
      <w:r>
        <w:rPr>
          <w:b/>
          <w:sz w:val="20"/>
          <w:szCs w:val="22"/>
          <w:u w:val="single"/>
        </w:rPr>
        <w:t>Intel</w:t>
      </w:r>
    </w:p>
    <w:p w14:paraId="25C8A91E" w14:textId="77777777"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The discussion in the CE SI is still on-going and the LB template is not stable. Therefore, the FL recommendation is to use the proposed LB template as the staring point and make some further update only when there are significant changes that affect the LB calculation.</w:t>
      </w:r>
    </w:p>
    <w:p w14:paraId="1E0CBBB7" w14:textId="77777777" w:rsidR="003B254E" w:rsidRDefault="003B254E" w:rsidP="003B254E">
      <w:pPr>
        <w:pStyle w:val="ListParagraph"/>
        <w:jc w:val="both"/>
        <w:rPr>
          <w:sz w:val="20"/>
          <w:szCs w:val="22"/>
        </w:rPr>
      </w:pPr>
    </w:p>
    <w:p w14:paraId="698A30D2" w14:textId="77777777" w:rsidR="003B254E" w:rsidRPr="0078730D" w:rsidRDefault="003B254E" w:rsidP="003B254E">
      <w:pPr>
        <w:pStyle w:val="ListParagraph"/>
        <w:numPr>
          <w:ilvl w:val="1"/>
          <w:numId w:val="13"/>
        </w:numPr>
        <w:jc w:val="both"/>
        <w:rPr>
          <w:b/>
          <w:sz w:val="20"/>
          <w:szCs w:val="22"/>
          <w:u w:val="single"/>
        </w:rPr>
      </w:pPr>
      <w:r>
        <w:rPr>
          <w:b/>
          <w:sz w:val="20"/>
          <w:szCs w:val="22"/>
          <w:u w:val="single"/>
        </w:rPr>
        <w:t xml:space="preserve">UE antenna configuration for RedCap UEs for FR2 </w:t>
      </w:r>
    </w:p>
    <w:p w14:paraId="757FE438" w14:textId="06FD47F3" w:rsidR="003B254E" w:rsidRDefault="003B254E" w:rsidP="003B254E">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sidRPr="0078730D">
        <w:rPr>
          <w:sz w:val="20"/>
          <w:szCs w:val="22"/>
        </w:rPr>
        <w:t xml:space="preserve">: </w:t>
      </w:r>
      <w:r>
        <w:rPr>
          <w:sz w:val="20"/>
          <w:szCs w:val="22"/>
        </w:rPr>
        <w:t xml:space="preserve">Since </w:t>
      </w:r>
      <w:r w:rsidRPr="00D26482">
        <w:rPr>
          <w:sz w:val="20"/>
          <w:szCs w:val="22"/>
        </w:rPr>
        <w:t>no company showed their concern</w:t>
      </w:r>
      <w:r>
        <w:rPr>
          <w:sz w:val="20"/>
          <w:szCs w:val="22"/>
        </w:rPr>
        <w:t xml:space="preserve"> for the FL proposal</w:t>
      </w:r>
      <w:r w:rsidR="00592F8A">
        <w:rPr>
          <w:sz w:val="20"/>
          <w:szCs w:val="22"/>
        </w:rPr>
        <w:t xml:space="preserve"> on UE antenna configuration for RedCap UE for FR2</w:t>
      </w:r>
      <w:r>
        <w:rPr>
          <w:sz w:val="20"/>
          <w:szCs w:val="22"/>
        </w:rPr>
        <w:t xml:space="preserve"> (i.e. a</w:t>
      </w:r>
      <w:r w:rsidRPr="00D26482">
        <w:rPr>
          <w:sz w:val="20"/>
          <w:szCs w:val="22"/>
        </w:rPr>
        <w:t>ssuming same array configuration for RedCap. In case of one Tx/Rx chain for UE, only the elements in one polarization are used</w:t>
      </w:r>
      <w:r>
        <w:rPr>
          <w:sz w:val="20"/>
          <w:szCs w:val="22"/>
        </w:rPr>
        <w:t xml:space="preserve">.). </w:t>
      </w:r>
      <w:r w:rsidRPr="00D26482">
        <w:rPr>
          <w:sz w:val="20"/>
          <w:szCs w:val="22"/>
        </w:rPr>
        <w:t>Therefore, this proposal can be treated as offline consensus.</w:t>
      </w:r>
      <w:r w:rsidR="00592F8A">
        <w:rPr>
          <w:sz w:val="20"/>
          <w:szCs w:val="22"/>
        </w:rPr>
        <w:t xml:space="preserve"> The bracket in the notes of row (1) and row (10) are removed.</w:t>
      </w:r>
    </w:p>
    <w:p w14:paraId="466322D1" w14:textId="77777777" w:rsidR="003B254E" w:rsidRDefault="003B254E" w:rsidP="003B254E">
      <w:pPr>
        <w:pStyle w:val="ListParagraph"/>
        <w:jc w:val="both"/>
        <w:rPr>
          <w:sz w:val="20"/>
          <w:szCs w:val="22"/>
        </w:rPr>
      </w:pPr>
    </w:p>
    <w:p w14:paraId="5B2E3A5F" w14:textId="0A4A4587" w:rsidR="003B254E" w:rsidRPr="002E1C7F" w:rsidRDefault="003B254E" w:rsidP="003B254E">
      <w:pPr>
        <w:rPr>
          <w:b/>
          <w:bCs/>
        </w:rPr>
      </w:pPr>
      <w:r w:rsidRPr="002943CE">
        <w:rPr>
          <w:b/>
          <w:bCs/>
        </w:rPr>
        <w:t>Q</w:t>
      </w:r>
      <w:r>
        <w:rPr>
          <w:b/>
          <w:bCs/>
        </w:rPr>
        <w:t>uestion</w:t>
      </w:r>
      <w:r w:rsidRPr="002943CE">
        <w:rPr>
          <w:b/>
          <w:bCs/>
        </w:rPr>
        <w:t xml:space="preserve"> </w:t>
      </w:r>
      <w:r>
        <w:rPr>
          <w:b/>
          <w:bCs/>
        </w:rPr>
        <w:t>4-1</w:t>
      </w:r>
      <w:r w:rsidR="009B55A4">
        <w:rPr>
          <w:b/>
          <w:bCs/>
        </w:rPr>
        <w:t>b</w:t>
      </w:r>
      <w:r w:rsidRPr="002943CE">
        <w:rPr>
          <w:b/>
          <w:bCs/>
        </w:rPr>
        <w:t xml:space="preserve">: </w:t>
      </w:r>
      <w:r>
        <w:rPr>
          <w:b/>
          <w:bCs/>
        </w:rPr>
        <w:t>Can the spreadsheets be used to collect coverage recovery evaluation results? If not, what other aspects need to be added</w:t>
      </w:r>
      <w:r w:rsidRPr="002943CE">
        <w:rPr>
          <w:b/>
          <w:bCs/>
        </w:rPr>
        <w:t>?</w:t>
      </w:r>
      <w:r w:rsidR="00E46614">
        <w:rPr>
          <w:b/>
          <w:bCs/>
        </w:rPr>
        <w:t xml:space="preserve"> Please do not repeat earlier discussions.</w:t>
      </w:r>
    </w:p>
    <w:tbl>
      <w:tblPr>
        <w:tblStyle w:val="TableGrid"/>
        <w:tblW w:w="9634" w:type="dxa"/>
        <w:tblLook w:val="04A0" w:firstRow="1" w:lastRow="0" w:firstColumn="1" w:lastColumn="0" w:noHBand="0" w:noVBand="1"/>
      </w:tblPr>
      <w:tblGrid>
        <w:gridCol w:w="1838"/>
        <w:gridCol w:w="7796"/>
      </w:tblGrid>
      <w:tr w:rsidR="003B254E" w14:paraId="62AF2B1D" w14:textId="77777777" w:rsidTr="0026212F">
        <w:tc>
          <w:tcPr>
            <w:tcW w:w="1838" w:type="dxa"/>
            <w:shd w:val="clear" w:color="auto" w:fill="D9D9D9" w:themeFill="background1" w:themeFillShade="D9"/>
          </w:tcPr>
          <w:p w14:paraId="1782456D" w14:textId="77777777" w:rsidR="003B254E" w:rsidRDefault="003B254E" w:rsidP="0026212F">
            <w:pPr>
              <w:rPr>
                <w:b/>
                <w:bCs/>
              </w:rPr>
            </w:pPr>
            <w:r>
              <w:rPr>
                <w:b/>
                <w:bCs/>
              </w:rPr>
              <w:t>Company</w:t>
            </w:r>
          </w:p>
        </w:tc>
        <w:tc>
          <w:tcPr>
            <w:tcW w:w="7796" w:type="dxa"/>
            <w:shd w:val="clear" w:color="auto" w:fill="D9D9D9" w:themeFill="background1" w:themeFillShade="D9"/>
          </w:tcPr>
          <w:p w14:paraId="7BAE242F" w14:textId="77777777" w:rsidR="003B254E" w:rsidRDefault="003B254E" w:rsidP="0026212F">
            <w:pPr>
              <w:rPr>
                <w:b/>
                <w:bCs/>
              </w:rPr>
            </w:pPr>
            <w:r>
              <w:rPr>
                <w:b/>
                <w:bCs/>
              </w:rPr>
              <w:t>Comments</w:t>
            </w:r>
          </w:p>
        </w:tc>
      </w:tr>
      <w:tr w:rsidR="003B254E" w14:paraId="26ED39EB" w14:textId="77777777" w:rsidTr="0026212F">
        <w:tc>
          <w:tcPr>
            <w:tcW w:w="1838" w:type="dxa"/>
          </w:tcPr>
          <w:p w14:paraId="7515E41A" w14:textId="2588748C" w:rsidR="003B254E" w:rsidRPr="00242F71" w:rsidRDefault="00242F71" w:rsidP="0026212F">
            <w:pPr>
              <w:rPr>
                <w:rFonts w:eastAsia="等线" w:hint="eastAsia"/>
                <w:lang w:val="en-US" w:eastAsia="zh-CN"/>
              </w:rPr>
            </w:pPr>
            <w:r>
              <w:rPr>
                <w:rFonts w:eastAsia="等线" w:hint="eastAsia"/>
                <w:lang w:val="en-US" w:eastAsia="zh-CN"/>
              </w:rPr>
              <w:t>S</w:t>
            </w:r>
            <w:r>
              <w:rPr>
                <w:rFonts w:eastAsia="等线"/>
                <w:lang w:val="en-US" w:eastAsia="zh-CN"/>
              </w:rPr>
              <w:t>amsung</w:t>
            </w:r>
          </w:p>
        </w:tc>
        <w:tc>
          <w:tcPr>
            <w:tcW w:w="7796" w:type="dxa"/>
          </w:tcPr>
          <w:p w14:paraId="63DCC137" w14:textId="3ABF9E95" w:rsidR="003B254E" w:rsidRPr="00242F71" w:rsidRDefault="00242F71" w:rsidP="0026212F">
            <w:pPr>
              <w:rPr>
                <w:rFonts w:eastAsia="等线" w:hint="eastAsia"/>
                <w:lang w:val="en-US" w:eastAsia="zh-CN"/>
              </w:rPr>
            </w:pPr>
            <w:r>
              <w:rPr>
                <w:rFonts w:eastAsia="等线" w:hint="eastAsia"/>
                <w:lang w:val="en-US" w:eastAsia="zh-CN"/>
              </w:rPr>
              <w:t>O</w:t>
            </w:r>
            <w:r>
              <w:rPr>
                <w:rFonts w:eastAsia="等线"/>
                <w:lang w:val="en-US" w:eastAsia="zh-CN"/>
              </w:rPr>
              <w:t>K</w:t>
            </w:r>
          </w:p>
        </w:tc>
      </w:tr>
      <w:tr w:rsidR="003B254E" w:rsidRPr="008E3AB5" w14:paraId="2B6EA191" w14:textId="77777777" w:rsidTr="0026212F">
        <w:tc>
          <w:tcPr>
            <w:tcW w:w="1838" w:type="dxa"/>
          </w:tcPr>
          <w:p w14:paraId="75D3A52A" w14:textId="77777777" w:rsidR="003B254E" w:rsidRDefault="003B254E" w:rsidP="0026212F">
            <w:pPr>
              <w:rPr>
                <w:lang w:val="en-US" w:eastAsia="ko-KR"/>
              </w:rPr>
            </w:pPr>
          </w:p>
        </w:tc>
        <w:tc>
          <w:tcPr>
            <w:tcW w:w="7796" w:type="dxa"/>
          </w:tcPr>
          <w:p w14:paraId="53743052" w14:textId="77777777" w:rsidR="003B254E" w:rsidRPr="008E3AB5" w:rsidRDefault="003B254E" w:rsidP="0026212F">
            <w:pPr>
              <w:rPr>
                <w:lang w:val="en-US"/>
              </w:rPr>
            </w:pPr>
          </w:p>
        </w:tc>
      </w:tr>
      <w:tr w:rsidR="003B254E" w:rsidRPr="008E3AB5" w14:paraId="31D12B76" w14:textId="77777777" w:rsidTr="0026212F">
        <w:tc>
          <w:tcPr>
            <w:tcW w:w="1838" w:type="dxa"/>
          </w:tcPr>
          <w:p w14:paraId="4E39011B" w14:textId="77777777" w:rsidR="003B254E" w:rsidRDefault="003B254E" w:rsidP="0026212F">
            <w:pPr>
              <w:rPr>
                <w:lang w:val="en-US" w:eastAsia="ko-KR"/>
              </w:rPr>
            </w:pPr>
          </w:p>
        </w:tc>
        <w:tc>
          <w:tcPr>
            <w:tcW w:w="7796" w:type="dxa"/>
          </w:tcPr>
          <w:p w14:paraId="7BEC42F2" w14:textId="77777777" w:rsidR="003B254E" w:rsidRPr="008E3AB5" w:rsidRDefault="003B254E" w:rsidP="0026212F">
            <w:pPr>
              <w:rPr>
                <w:lang w:val="en-US"/>
              </w:rPr>
            </w:pPr>
          </w:p>
        </w:tc>
      </w:tr>
    </w:tbl>
    <w:p w14:paraId="72598B00" w14:textId="2A589E47" w:rsidR="003B254E" w:rsidRDefault="003B254E" w:rsidP="00175FDD">
      <w:pPr>
        <w:rPr>
          <w:lang w:val="en-US"/>
        </w:rPr>
      </w:pPr>
    </w:p>
    <w:p w14:paraId="24BCD938" w14:textId="59213E13" w:rsidR="00AA1C8D" w:rsidRDefault="00AA1C8D" w:rsidP="00175FDD">
      <w:pPr>
        <w:rPr>
          <w:lang w:val="en-US"/>
        </w:rPr>
      </w:pPr>
      <w:r>
        <w:rPr>
          <w:lang w:val="en-US"/>
        </w:rPr>
        <w:t>The CE SI has just agreed to assume an uplink total radiated power of 12 dBm for link budget calculation in FR2. The earlier assumption 23 dBm total transmission power implies 34 dBm EIRP which was considered too high for a power class 3 (handheld) UE. The FL would invite companies to provide their views on using the new UL Tx power assumption for link budget calculation in FR2.</w:t>
      </w:r>
    </w:p>
    <w:p w14:paraId="0A83870A" w14:textId="607B3F61" w:rsidR="00AA1C8D" w:rsidRPr="002C4629" w:rsidRDefault="00AA1C8D" w:rsidP="00AA1C8D">
      <w:pPr>
        <w:spacing w:after="120"/>
        <w:rPr>
          <w:b/>
          <w:bCs/>
          <w:color w:val="4472C4"/>
          <w:u w:val="single"/>
          <w:lang w:val="en-US"/>
        </w:rPr>
      </w:pPr>
      <w:r w:rsidRPr="002C4629">
        <w:rPr>
          <w:b/>
          <w:bCs/>
          <w:color w:val="4472C4"/>
          <w:u w:val="single"/>
        </w:rPr>
        <w:t>Conclusion</w:t>
      </w:r>
      <w:r w:rsidR="002C4629" w:rsidRPr="002C4629">
        <w:rPr>
          <w:b/>
          <w:bCs/>
          <w:color w:val="4472C4"/>
          <w:u w:val="single"/>
        </w:rPr>
        <w:t xml:space="preserve"> (</w:t>
      </w:r>
      <w:r w:rsidR="00261F1B">
        <w:rPr>
          <w:b/>
          <w:bCs/>
          <w:color w:val="4472C4"/>
          <w:u w:val="single"/>
        </w:rPr>
        <w:t>by</w:t>
      </w:r>
      <w:r w:rsidR="002C4629" w:rsidRPr="002C4629">
        <w:rPr>
          <w:b/>
          <w:bCs/>
          <w:color w:val="4472C4"/>
          <w:u w:val="single"/>
        </w:rPr>
        <w:t xml:space="preserve"> the CE SI)</w:t>
      </w:r>
    </w:p>
    <w:p w14:paraId="23000FB7" w14:textId="77777777" w:rsidR="00AA1C8D" w:rsidRPr="00AA1C8D" w:rsidRDefault="00AA1C8D" w:rsidP="00AA1C8D">
      <w:pPr>
        <w:pStyle w:val="ListParagraph"/>
        <w:numPr>
          <w:ilvl w:val="0"/>
          <w:numId w:val="16"/>
        </w:numPr>
        <w:rPr>
          <w:color w:val="4472C4"/>
        </w:rPr>
      </w:pPr>
      <w:r w:rsidRPr="00AA1C8D">
        <w:rPr>
          <w:color w:val="4472C4"/>
        </w:rPr>
        <w:t xml:space="preserve">For link budget calculation in FR2, an uplink total radiated power of 12dBm is also considered, for baseline performance evaluations of commercial power class 3 UEs.       </w:t>
      </w:r>
    </w:p>
    <w:p w14:paraId="25244B2D" w14:textId="29D50AAE" w:rsidR="00AA1C8D" w:rsidRDefault="00AA1C8D" w:rsidP="00AA1C8D">
      <w:pPr>
        <w:pStyle w:val="ListParagraph"/>
        <w:numPr>
          <w:ilvl w:val="0"/>
          <w:numId w:val="16"/>
        </w:numPr>
        <w:rPr>
          <w:color w:val="4472C4"/>
        </w:rPr>
      </w:pPr>
      <w:r w:rsidRPr="00AA1C8D">
        <w:rPr>
          <w:color w:val="4472C4"/>
          <w:u w:val="single"/>
        </w:rPr>
        <w:t>Note</w:t>
      </w:r>
      <w:r w:rsidRPr="00AA1C8D">
        <w:rPr>
          <w:color w:val="4472C4"/>
        </w:rPr>
        <w:t>: with the assumption of total maximum of 11 dBi antenna gain.</w:t>
      </w:r>
    </w:p>
    <w:p w14:paraId="6D078515" w14:textId="77777777" w:rsidR="002C4629" w:rsidRPr="00AA1C8D" w:rsidRDefault="002C4629" w:rsidP="002C4629">
      <w:pPr>
        <w:pStyle w:val="ListParagraph"/>
        <w:rPr>
          <w:color w:val="4472C4"/>
        </w:rPr>
      </w:pPr>
    </w:p>
    <w:p w14:paraId="3FD20BA3" w14:textId="76FF4922" w:rsidR="00AA1C8D" w:rsidRPr="002E1C7F" w:rsidRDefault="00AA1C8D" w:rsidP="00AA1C8D">
      <w:pPr>
        <w:rPr>
          <w:b/>
          <w:bCs/>
        </w:rPr>
      </w:pPr>
      <w:r w:rsidRPr="002943CE">
        <w:rPr>
          <w:b/>
          <w:bCs/>
        </w:rPr>
        <w:t>Q</w:t>
      </w:r>
      <w:r>
        <w:rPr>
          <w:b/>
          <w:bCs/>
        </w:rPr>
        <w:t>uestion</w:t>
      </w:r>
      <w:r w:rsidRPr="002943CE">
        <w:rPr>
          <w:b/>
          <w:bCs/>
        </w:rPr>
        <w:t xml:space="preserve"> </w:t>
      </w:r>
      <w:r>
        <w:rPr>
          <w:b/>
          <w:bCs/>
        </w:rPr>
        <w:t>4-1c</w:t>
      </w:r>
      <w:r w:rsidRPr="002943CE">
        <w:rPr>
          <w:b/>
          <w:bCs/>
        </w:rPr>
        <w:t xml:space="preserve">: </w:t>
      </w:r>
      <w:r>
        <w:rPr>
          <w:b/>
          <w:bCs/>
        </w:rPr>
        <w:t xml:space="preserve">For link budget calculation in FR2, can we use the new uplink Tx power assumption agreed in the CE SI, i.e. </w:t>
      </w:r>
      <w:r w:rsidR="001F7B15">
        <w:rPr>
          <w:b/>
          <w:bCs/>
        </w:rPr>
        <w:t>the values of row (3</w:t>
      </w:r>
      <w:r w:rsidR="000E4CCF">
        <w:rPr>
          <w:b/>
          <w:bCs/>
        </w:rPr>
        <w:t>b</w:t>
      </w:r>
      <w:r w:rsidR="001F7B15">
        <w:rPr>
          <w:b/>
          <w:bCs/>
        </w:rPr>
        <w:t>) and (3bis) for uplink changed from 23 to 12 dBm</w:t>
      </w:r>
      <w:r w:rsidRPr="002943CE">
        <w:rPr>
          <w:b/>
          <w:bCs/>
        </w:rPr>
        <w:t>?</w:t>
      </w:r>
    </w:p>
    <w:tbl>
      <w:tblPr>
        <w:tblStyle w:val="TableGrid"/>
        <w:tblW w:w="9634" w:type="dxa"/>
        <w:tblLook w:val="04A0" w:firstRow="1" w:lastRow="0" w:firstColumn="1" w:lastColumn="0" w:noHBand="0" w:noVBand="1"/>
      </w:tblPr>
      <w:tblGrid>
        <w:gridCol w:w="1838"/>
        <w:gridCol w:w="7796"/>
      </w:tblGrid>
      <w:tr w:rsidR="00AA1C8D" w14:paraId="1CDE8F05" w14:textId="77777777" w:rsidTr="00474F3C">
        <w:tc>
          <w:tcPr>
            <w:tcW w:w="1838" w:type="dxa"/>
            <w:shd w:val="clear" w:color="auto" w:fill="D9D9D9" w:themeFill="background1" w:themeFillShade="D9"/>
          </w:tcPr>
          <w:p w14:paraId="78153FD5" w14:textId="77777777" w:rsidR="00AA1C8D" w:rsidRDefault="00AA1C8D" w:rsidP="00474F3C">
            <w:pPr>
              <w:rPr>
                <w:b/>
                <w:bCs/>
              </w:rPr>
            </w:pPr>
            <w:r>
              <w:rPr>
                <w:b/>
                <w:bCs/>
              </w:rPr>
              <w:t>Company</w:t>
            </w:r>
          </w:p>
        </w:tc>
        <w:tc>
          <w:tcPr>
            <w:tcW w:w="7796" w:type="dxa"/>
            <w:shd w:val="clear" w:color="auto" w:fill="D9D9D9" w:themeFill="background1" w:themeFillShade="D9"/>
          </w:tcPr>
          <w:p w14:paraId="623EC37D" w14:textId="77777777" w:rsidR="00AA1C8D" w:rsidRDefault="00AA1C8D" w:rsidP="00474F3C">
            <w:pPr>
              <w:rPr>
                <w:b/>
                <w:bCs/>
              </w:rPr>
            </w:pPr>
            <w:r>
              <w:rPr>
                <w:b/>
                <w:bCs/>
              </w:rPr>
              <w:t>Comments</w:t>
            </w:r>
          </w:p>
        </w:tc>
      </w:tr>
      <w:tr w:rsidR="00AA1C8D" w14:paraId="5E28B6EF" w14:textId="77777777" w:rsidTr="00474F3C">
        <w:tc>
          <w:tcPr>
            <w:tcW w:w="1838" w:type="dxa"/>
          </w:tcPr>
          <w:p w14:paraId="212168EB" w14:textId="1EC21C18" w:rsidR="00AA1C8D" w:rsidRPr="00785754" w:rsidRDefault="00EE203A" w:rsidP="00474F3C">
            <w:pPr>
              <w:rPr>
                <w:rFonts w:eastAsia="等线" w:hint="eastAsia"/>
                <w:lang w:val="en-US" w:eastAsia="zh-CN"/>
              </w:rPr>
            </w:pPr>
            <w:r>
              <w:rPr>
                <w:rFonts w:eastAsia="等线" w:hint="eastAsia"/>
                <w:lang w:val="en-US" w:eastAsia="zh-CN"/>
              </w:rPr>
              <w:t>S</w:t>
            </w:r>
            <w:r>
              <w:rPr>
                <w:rFonts w:eastAsia="等线"/>
                <w:lang w:val="en-US" w:eastAsia="zh-CN"/>
              </w:rPr>
              <w:t>amsung</w:t>
            </w:r>
          </w:p>
        </w:tc>
        <w:tc>
          <w:tcPr>
            <w:tcW w:w="7796" w:type="dxa"/>
          </w:tcPr>
          <w:p w14:paraId="19C2B865" w14:textId="16617B4E" w:rsidR="00EE203A" w:rsidRPr="00785754" w:rsidRDefault="00EE203A" w:rsidP="00EE203A">
            <w:pPr>
              <w:rPr>
                <w:rFonts w:eastAsia="等线" w:hint="eastAsia"/>
                <w:lang w:val="en-US" w:eastAsia="zh-CN"/>
              </w:rPr>
            </w:pPr>
            <w:r>
              <w:rPr>
                <w:rFonts w:eastAsia="等线" w:hint="eastAsia"/>
                <w:lang w:val="en-US" w:eastAsia="zh-CN"/>
              </w:rPr>
              <w:t>We</w:t>
            </w:r>
            <w:r>
              <w:rPr>
                <w:rFonts w:eastAsia="等线"/>
                <w:lang w:val="en-US" w:eastAsia="zh-CN"/>
              </w:rPr>
              <w:t xml:space="preserve"> don’t want to change from 23dBm to 12dBm for coverage evaluation, but we can be ok to additionally consider the analysis for 12dBm for power class 3 UEs if </w:t>
            </w:r>
            <w:bookmarkStart w:id="8" w:name="_GoBack"/>
            <w:r>
              <w:rPr>
                <w:rFonts w:eastAsia="等线"/>
                <w:lang w:val="en-US" w:eastAsia="zh-CN"/>
              </w:rPr>
              <w:t xml:space="preserve">majority </w:t>
            </w:r>
            <w:bookmarkEnd w:id="8"/>
            <w:r>
              <w:rPr>
                <w:rFonts w:eastAsia="等线"/>
                <w:lang w:val="en-US" w:eastAsia="zh-CN"/>
              </w:rPr>
              <w:t xml:space="preserve">companies support it. </w:t>
            </w:r>
          </w:p>
        </w:tc>
      </w:tr>
      <w:tr w:rsidR="00AA1C8D" w:rsidRPr="008E3AB5" w14:paraId="085BE22B" w14:textId="77777777" w:rsidTr="00474F3C">
        <w:tc>
          <w:tcPr>
            <w:tcW w:w="1838" w:type="dxa"/>
          </w:tcPr>
          <w:p w14:paraId="5AFECA29" w14:textId="77777777" w:rsidR="00AA1C8D" w:rsidRDefault="00AA1C8D" w:rsidP="00474F3C">
            <w:pPr>
              <w:rPr>
                <w:lang w:val="en-US" w:eastAsia="ko-KR"/>
              </w:rPr>
            </w:pPr>
          </w:p>
        </w:tc>
        <w:tc>
          <w:tcPr>
            <w:tcW w:w="7796" w:type="dxa"/>
          </w:tcPr>
          <w:p w14:paraId="7B9E70D7" w14:textId="77777777" w:rsidR="00AA1C8D" w:rsidRPr="008E3AB5" w:rsidRDefault="00AA1C8D" w:rsidP="00474F3C">
            <w:pPr>
              <w:rPr>
                <w:lang w:val="en-US"/>
              </w:rPr>
            </w:pPr>
          </w:p>
        </w:tc>
      </w:tr>
      <w:tr w:rsidR="00AA1C8D" w:rsidRPr="008E3AB5" w14:paraId="5A683668" w14:textId="77777777" w:rsidTr="00474F3C">
        <w:tc>
          <w:tcPr>
            <w:tcW w:w="1838" w:type="dxa"/>
          </w:tcPr>
          <w:p w14:paraId="48003B0D" w14:textId="77777777" w:rsidR="00AA1C8D" w:rsidRDefault="00AA1C8D" w:rsidP="00474F3C">
            <w:pPr>
              <w:rPr>
                <w:lang w:val="en-US" w:eastAsia="ko-KR"/>
              </w:rPr>
            </w:pPr>
          </w:p>
        </w:tc>
        <w:tc>
          <w:tcPr>
            <w:tcW w:w="7796" w:type="dxa"/>
          </w:tcPr>
          <w:p w14:paraId="4BE63ABD" w14:textId="77777777" w:rsidR="00AA1C8D" w:rsidRPr="008E3AB5" w:rsidRDefault="00AA1C8D" w:rsidP="00474F3C">
            <w:pPr>
              <w:rPr>
                <w:lang w:val="en-US"/>
              </w:rPr>
            </w:pPr>
          </w:p>
        </w:tc>
      </w:tr>
    </w:tbl>
    <w:p w14:paraId="67443C81" w14:textId="77777777" w:rsidR="00AA1C8D" w:rsidRDefault="00AA1C8D" w:rsidP="00175FDD">
      <w:pPr>
        <w:rPr>
          <w:lang w:val="en-US"/>
        </w:rPr>
      </w:pPr>
    </w:p>
    <w:p w14:paraId="7E3F2280" w14:textId="77777777" w:rsidR="00175FDD" w:rsidRDefault="00175FDD" w:rsidP="00175FDD">
      <w:pPr>
        <w:pStyle w:val="Heading1"/>
      </w:pPr>
      <w:r>
        <w:lastRenderedPageBreak/>
        <w:t>5</w:t>
      </w:r>
      <w:r>
        <w:tab/>
        <w:t>Template for capacity impact evaluation</w:t>
      </w:r>
    </w:p>
    <w:p w14:paraId="01A82820" w14:textId="05219BB5" w:rsidR="00587B3B" w:rsidRPr="004C76DB" w:rsidRDefault="00505A8E" w:rsidP="00587B3B">
      <w:pPr>
        <w:jc w:val="both"/>
      </w:pPr>
      <w:r>
        <w:rPr>
          <w:lang w:val="en-US"/>
        </w:rPr>
        <w:t>An</w:t>
      </w:r>
      <w:r w:rsidR="00587B3B">
        <w:rPr>
          <w:lang w:val="en-US"/>
        </w:rPr>
        <w:t xml:space="preserve"> updated draft template is provided in</w:t>
      </w:r>
      <w:r w:rsidR="00587B3B" w:rsidRPr="00407B5F">
        <w:t xml:space="preserve"> </w:t>
      </w:r>
      <w:hyperlink r:id="rId23" w:history="1"/>
      <w:hyperlink r:id="rId24" w:history="1">
        <w:r w:rsidR="00587B3B">
          <w:rPr>
            <w:rStyle w:val="Hyperlink"/>
          </w:rPr>
          <w:t>RedCapCapacityTemplate-v002.xlsx</w:t>
        </w:r>
      </w:hyperlink>
      <w:r w:rsidR="00587B3B">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RedCap UEs and different UE complexity reduction features (i.e. 1 Rx or 2 Rx). </w:t>
      </w:r>
    </w:p>
    <w:p w14:paraId="5A9E0D6D" w14:textId="2F90FE49" w:rsidR="00592F8A" w:rsidRDefault="00587B3B" w:rsidP="00587B3B">
      <w:pPr>
        <w:jc w:val="both"/>
        <w:rPr>
          <w:lang w:val="en-US"/>
        </w:rPr>
      </w:pPr>
      <w:r>
        <w:rPr>
          <w:lang w:val="en-US"/>
        </w:rPr>
        <w:t>For the non-full buffer traffic, the performance metric is based on 5% and 50% UPT, and company can report the actual value of resource utilization (RU) for low and medium loading. An SE row is also included in the non-full-buffer traffic table</w:t>
      </w:r>
      <w:r w:rsidRPr="00FB61D3">
        <w:rPr>
          <w:rFonts w:eastAsia="Times New Roman"/>
        </w:rPr>
        <w:t>.</w:t>
      </w:r>
      <w:r w:rsidR="00592F8A">
        <w:rPr>
          <w:rFonts w:eastAsia="Times New Roman"/>
        </w:rPr>
        <w:t xml:space="preserve"> For the buffer traffic, the performance metric is based on the cell average SE. </w:t>
      </w:r>
    </w:p>
    <w:p w14:paraId="524B73D6" w14:textId="5D1ED8E0" w:rsidR="00587B3B" w:rsidRPr="00346FAD" w:rsidRDefault="00587B3B" w:rsidP="00587B3B">
      <w:pPr>
        <w:jc w:val="both"/>
        <w:rPr>
          <w:lang w:val="en-US"/>
        </w:rPr>
      </w:pPr>
      <w:r>
        <w:rPr>
          <w:lang w:val="en-US"/>
        </w:rPr>
        <w:t>In the first</w:t>
      </w:r>
      <w:r w:rsidR="00592F8A">
        <w:rPr>
          <w:lang w:val="en-US"/>
        </w:rPr>
        <w:t>-</w:t>
      </w:r>
      <w:r>
        <w:rPr>
          <w:lang w:val="en-US"/>
        </w:rPr>
        <w:t xml:space="preserve">round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solutions can be considered for RedCap UEs. The FL recommendation is to collect the evaluation results at least for UE complexity 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33A7B2C5" w14:textId="77777777" w:rsidR="00587B3B" w:rsidRDefault="00587B3B" w:rsidP="00587B3B">
      <w:pPr>
        <w:jc w:val="both"/>
        <w:rPr>
          <w:rFonts w:eastAsia="等线"/>
          <w:lang w:val="en-US" w:eastAsia="zh-CN"/>
        </w:rPr>
      </w:pPr>
      <w:r>
        <w:rPr>
          <w:lang w:val="en-US"/>
        </w:rPr>
        <w:t xml:space="preserve">A couple of responses comment on the </w:t>
      </w:r>
      <w:r>
        <w:rPr>
          <w:rFonts w:eastAsia="等线" w:hint="eastAsia"/>
          <w:lang w:val="en-US" w:eastAsia="zh-CN"/>
        </w:rPr>
        <w:t>U</w:t>
      </w:r>
      <w:r>
        <w:rPr>
          <w:rFonts w:eastAsia="等线"/>
          <w:lang w:val="en-US" w:eastAsia="zh-CN"/>
        </w:rPr>
        <w:t xml:space="preserve">E complexity reduction features for evaluation. One response proposes to start from the most ambitious cost reduction combination, e.g. </w:t>
      </w:r>
      <w:r w:rsidRPr="00A364EA">
        <w:rPr>
          <w:rFonts w:eastAsia="等线"/>
          <w:lang w:val="en-US" w:eastAsia="zh-CN"/>
        </w:rPr>
        <w:t>20 MHz, 1 layer, 1 Rx, DL 64QAM, and UL 16QAM in FR1 FDD</w:t>
      </w:r>
      <w:r>
        <w:rPr>
          <w:rFonts w:eastAsia="等线"/>
          <w:lang w:val="en-US" w:eastAsia="zh-CN"/>
        </w:rPr>
        <w:t>. The FL recommendation is that both 1Rx and 2Rx are evaluated, and for other UE complexity reduction features, probably we can consider to limit the choice for easily comparing the results, e.g. 20MHz, 1 layer, DL 64QAM and UL 16QAM in FR1 and 100MHz, 1 layer, DL 16QAM and UL 16QAM in FR2.</w:t>
      </w:r>
    </w:p>
    <w:p w14:paraId="4381FF71" w14:textId="77777777" w:rsidR="00587B3B" w:rsidRDefault="00587B3B" w:rsidP="00587B3B">
      <w:pPr>
        <w:jc w:val="both"/>
        <w:rPr>
          <w:rFonts w:eastAsia="等线"/>
          <w:lang w:val="en-US" w:eastAsia="zh-CN"/>
        </w:rPr>
      </w:pPr>
      <w:r>
        <w:rPr>
          <w:rFonts w:eastAsia="等线"/>
          <w:lang w:val="en-US" w:eastAsia="zh-CN"/>
        </w:rPr>
        <w:t xml:space="preserve">Several responses propose to collect the </w:t>
      </w:r>
      <w:r w:rsidRPr="001C560D">
        <w:rPr>
          <w:rFonts w:eastAsia="等线"/>
          <w:lang w:val="en-US" w:eastAsia="zh-CN"/>
        </w:rPr>
        <w:t xml:space="preserve">statistics </w:t>
      </w:r>
      <w:r>
        <w:rPr>
          <w:rFonts w:eastAsia="等线"/>
          <w:lang w:val="en-US" w:eastAsia="zh-CN"/>
        </w:rPr>
        <w:t xml:space="preserve">(e.g. UPT, cell SE) </w:t>
      </w:r>
      <w:r w:rsidRPr="001C560D">
        <w:rPr>
          <w:rFonts w:eastAsia="等线"/>
          <w:lang w:val="en-US" w:eastAsia="zh-CN"/>
        </w:rPr>
        <w:t xml:space="preserve">separately for RedCap and </w:t>
      </w:r>
      <w:r>
        <w:rPr>
          <w:rFonts w:eastAsia="等线"/>
          <w:lang w:val="en-US" w:eastAsia="zh-CN"/>
        </w:rPr>
        <w:t xml:space="preserve">eMBB </w:t>
      </w:r>
      <w:r w:rsidRPr="001C560D">
        <w:rPr>
          <w:rFonts w:eastAsia="等线"/>
          <w:lang w:val="en-US" w:eastAsia="zh-CN"/>
        </w:rPr>
        <w:t>UEs</w:t>
      </w:r>
      <w:r>
        <w:rPr>
          <w:rFonts w:eastAsia="等线"/>
          <w:lang w:val="en-US" w:eastAsia="zh-CN"/>
        </w:rPr>
        <w:t xml:space="preserve">. Based on the responses, the collection of the results separately for the RedCap and eMBB UEs as well as overall statistics has been included in the updated template. </w:t>
      </w:r>
    </w:p>
    <w:p w14:paraId="6D315DA7" w14:textId="77777777" w:rsidR="00587B3B" w:rsidRDefault="00587B3B" w:rsidP="00587B3B">
      <w:pPr>
        <w:jc w:val="both"/>
        <w:rPr>
          <w:rFonts w:eastAsia="等线"/>
          <w:lang w:val="en-US" w:eastAsia="zh-CN"/>
        </w:rPr>
      </w:pPr>
      <w:r>
        <w:rPr>
          <w:rFonts w:eastAsia="等线"/>
          <w:lang w:val="en-US" w:eastAsia="zh-CN"/>
        </w:rPr>
        <w:t>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comment it is difficult to perfectly match the exact loading ratio, e.g. 30% or 50%. The FL recommendation is to use the 30% and 50% loading target as much as possible, and company can also declare the other values.</w:t>
      </w:r>
    </w:p>
    <w:p w14:paraId="19E2B413" w14:textId="77777777" w:rsidR="00587B3B" w:rsidRDefault="00587B3B" w:rsidP="00587B3B">
      <w:pPr>
        <w:jc w:val="both"/>
        <w:rPr>
          <w:rFonts w:eastAsia="等线"/>
          <w:lang w:val="en-US" w:eastAsia="zh-CN"/>
        </w:rPr>
      </w:pPr>
      <w:r>
        <w:rPr>
          <w:rFonts w:eastAsia="等线"/>
          <w:lang w:val="en-US" w:eastAsia="zh-CN"/>
        </w:rPr>
        <w:t>One response proposes to make FTP model 3 mandatory for both RedCap and eMBB UEs, and IM traffic model can be optional. Generally, the IM traffic model is used for less frequently small packet transmission while FTP model is used for file transfer, storage and application download and update. Therefore, the IM traffic model is more aligned with the RedCap user cases. It is also noted that in the last meeting, the IM traffic model has been agreed as the baseline for power saving evaluation of RedCap UE. Therefore, the FL recommendation is to follow the last meeting agreement on the non-full buffer traffic model, e.g. both FTP model 3 and IM traffic model are considered up to company to report.</w:t>
      </w:r>
    </w:p>
    <w:p w14:paraId="2922FFAA" w14:textId="77777777" w:rsidR="00587B3B" w:rsidRDefault="00587B3B" w:rsidP="00587B3B">
      <w:pPr>
        <w:jc w:val="both"/>
        <w:rPr>
          <w:rFonts w:eastAsia="等线"/>
          <w:lang w:val="en-US" w:eastAsia="zh-CN"/>
        </w:rPr>
      </w:pPr>
      <w:r>
        <w:rPr>
          <w:rFonts w:eastAsia="等线"/>
          <w:lang w:val="en-US" w:eastAsia="zh-CN"/>
        </w:rPr>
        <w:t xml:space="preserve">One response proposes to discuss and decide whether the total number of UEs including both eMBB and RedCap UEs can be fixed for each evaluated cost reduction feature. For example, the total number of UEs is firstly determined assuming 0% RedCap UE ratio when adapting the target RU, and then applied to the other RedCap UE ratios and not changed for other cost reduction features. Although the proposal can reduce the efforts to determine the number of UEs, the target loading cannot be achieved when the RedCap UEs are added to the cell and the impact to the eMBB UE may not be correctly evaluated. Therefore, the FL recommendation is that for evaluation of each percentage of RedCap UE and eMBB UE, company are encouraged to determine the loading level to </w:t>
      </w:r>
      <w:r w:rsidRPr="00CE5404">
        <w:rPr>
          <w:rFonts w:eastAsia="等线"/>
          <w:lang w:val="en-US" w:eastAsia="zh-CN"/>
        </w:rPr>
        <w:t>achiev</w:t>
      </w:r>
      <w:r>
        <w:rPr>
          <w:rFonts w:eastAsia="等线"/>
          <w:lang w:val="en-US" w:eastAsia="zh-CN"/>
        </w:rPr>
        <w:t>e</w:t>
      </w:r>
      <w:r w:rsidRPr="00CE5404">
        <w:rPr>
          <w:rFonts w:eastAsia="等线"/>
          <w:lang w:val="en-US" w:eastAsia="zh-CN"/>
        </w:rPr>
        <w:t xml:space="preserve"> the target RU</w:t>
      </w:r>
      <w:r>
        <w:rPr>
          <w:rFonts w:eastAsia="等线"/>
          <w:lang w:val="en-US" w:eastAsia="zh-CN"/>
        </w:rPr>
        <w:t xml:space="preserve">. </w:t>
      </w:r>
    </w:p>
    <w:p w14:paraId="3EB6F087" w14:textId="1E9B5256" w:rsidR="00587B3B" w:rsidRPr="00CC12AF" w:rsidRDefault="00587B3B" w:rsidP="00587B3B">
      <w:pPr>
        <w:jc w:val="both"/>
        <w:rPr>
          <w:b/>
          <w:bCs/>
          <w:lang w:val="en-US"/>
        </w:rPr>
      </w:pPr>
      <w:r w:rsidRPr="00DD2AA8">
        <w:rPr>
          <w:b/>
          <w:bCs/>
          <w:highlight w:val="cyan"/>
          <w:lang w:val="en-US"/>
        </w:rPr>
        <w:t>Summary of the 2</w:t>
      </w:r>
      <w:r w:rsidRPr="00DD2AA8">
        <w:rPr>
          <w:b/>
          <w:bCs/>
          <w:highlight w:val="cyan"/>
          <w:vertAlign w:val="superscript"/>
          <w:lang w:val="en-US"/>
        </w:rPr>
        <w:t>nd</w:t>
      </w:r>
      <w:r w:rsidRPr="00DD2AA8">
        <w:rPr>
          <w:b/>
          <w:bCs/>
          <w:highlight w:val="cyan"/>
          <w:lang w:val="en-US"/>
        </w:rPr>
        <w:t xml:space="preserve"> round discussion</w:t>
      </w:r>
      <w:r w:rsidR="00592F8A">
        <w:rPr>
          <w:b/>
          <w:bCs/>
          <w:highlight w:val="cyan"/>
          <w:lang w:val="en-US"/>
        </w:rPr>
        <w:t xml:space="preserve"> (see FS2)</w:t>
      </w:r>
      <w:r w:rsidRPr="00DD2AA8">
        <w:rPr>
          <w:b/>
          <w:bCs/>
          <w:highlight w:val="cyan"/>
          <w:lang w:val="en-US"/>
        </w:rPr>
        <w:t>:</w:t>
      </w:r>
    </w:p>
    <w:p w14:paraId="0B3647BC"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UE compelxity reduction features for capacity evaluation</w:t>
      </w:r>
    </w:p>
    <w:p w14:paraId="3C6A9EDC" w14:textId="77777777" w:rsidR="00587B3B" w:rsidRDefault="00587B3B" w:rsidP="00587B3B">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Pr>
          <w:sz w:val="20"/>
          <w:szCs w:val="22"/>
        </w:rPr>
        <w:t>Seems most repsponses support the FL recommendation on the UE complexity reduction features. Also as commented by Ericsson, additional combinations can be evaluated and reported in contributions to RAN1#103-e</w:t>
      </w:r>
      <w:r w:rsidRPr="0078730D">
        <w:rPr>
          <w:sz w:val="20"/>
          <w:szCs w:val="22"/>
        </w:rPr>
        <w:t xml:space="preserve">. </w:t>
      </w:r>
    </w:p>
    <w:p w14:paraId="615D342A" w14:textId="77777777" w:rsidR="00587B3B" w:rsidRPr="0078730D" w:rsidRDefault="00587B3B" w:rsidP="00587B3B">
      <w:pPr>
        <w:pStyle w:val="ListParagraph"/>
        <w:jc w:val="both"/>
        <w:rPr>
          <w:sz w:val="20"/>
          <w:szCs w:val="22"/>
        </w:rPr>
      </w:pPr>
    </w:p>
    <w:p w14:paraId="4FA70BB8"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Clarify the SE defintion for non-full buffer traffic – Huawei, Qualcomm, LG</w:t>
      </w:r>
    </w:p>
    <w:p w14:paraId="5679713A" w14:textId="77777777" w:rsidR="00587B3B" w:rsidRDefault="00587B3B" w:rsidP="00587B3B">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 </w:t>
      </w:r>
      <w:r>
        <w:rPr>
          <w:sz w:val="20"/>
          <w:szCs w:val="22"/>
        </w:rPr>
        <w:t xml:space="preserve">Agree with the Huawei’s proposal on the SE for the non-full buffer traffic, i.e. </w:t>
      </w:r>
      <w:r w:rsidRPr="00B90408">
        <w:rPr>
          <w:sz w:val="20"/>
          <w:szCs w:val="22"/>
        </w:rPr>
        <w:t>SE (bps/Hz)= cell average throughput(Mbps) / ( cell bandwidth(MHz) * RU)</w:t>
      </w:r>
      <w:r>
        <w:rPr>
          <w:sz w:val="20"/>
          <w:szCs w:val="22"/>
        </w:rPr>
        <w:t>. The capacity template v002 has address this issue.</w:t>
      </w:r>
      <w:r w:rsidRPr="0078730D">
        <w:rPr>
          <w:sz w:val="20"/>
          <w:szCs w:val="22"/>
        </w:rPr>
        <w:t xml:space="preserve"> </w:t>
      </w:r>
    </w:p>
    <w:p w14:paraId="0BF9A0AE" w14:textId="77777777" w:rsidR="00587B3B" w:rsidRPr="0078730D" w:rsidRDefault="00587B3B" w:rsidP="00587B3B">
      <w:pPr>
        <w:pStyle w:val="ListParagraph"/>
        <w:jc w:val="both"/>
        <w:rPr>
          <w:sz w:val="20"/>
          <w:szCs w:val="22"/>
        </w:rPr>
      </w:pPr>
    </w:p>
    <w:p w14:paraId="0295E830"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Clarify the reference eMBB UE configuation for evaluation – ZTE</w:t>
      </w:r>
    </w:p>
    <w:p w14:paraId="4BF93D06" w14:textId="77777777" w:rsidR="00587B3B" w:rsidRDefault="00587B3B" w:rsidP="00587B3B">
      <w:pPr>
        <w:pStyle w:val="ListParagraph"/>
        <w:jc w:val="both"/>
        <w:rPr>
          <w:rFonts w:eastAsia="Calibri"/>
        </w:rPr>
      </w:pPr>
      <w:r w:rsidRPr="0078730D">
        <w:rPr>
          <w:sz w:val="20"/>
          <w:szCs w:val="22"/>
          <w:highlight w:val="cyan"/>
        </w:rPr>
        <w:lastRenderedPageBreak/>
        <w:sym w:font="Wingdings" w:char="F0E0"/>
      </w:r>
      <w:r w:rsidRPr="0078730D">
        <w:rPr>
          <w:sz w:val="20"/>
          <w:szCs w:val="22"/>
          <w:highlight w:val="cyan"/>
        </w:rPr>
        <w:t xml:space="preserve"> FL perspective: </w:t>
      </w:r>
      <w:r>
        <w:rPr>
          <w:sz w:val="20"/>
          <w:szCs w:val="22"/>
        </w:rPr>
        <w:t>The FL recommendation is to use the same reference UE configuration a</w:t>
      </w:r>
      <w:r w:rsidRPr="000043D1">
        <w:rPr>
          <w:sz w:val="20"/>
          <w:szCs w:val="22"/>
        </w:rPr>
        <w:t>s agreed in RAN1#101-</w:t>
      </w:r>
      <w:r>
        <w:rPr>
          <w:sz w:val="20"/>
          <w:szCs w:val="22"/>
        </w:rPr>
        <w:t>e, i.e. 4Rx/1Tx for FR1 TDD and 2Rx/1Tx for FR2 for the SLS evaluation.</w:t>
      </w:r>
    </w:p>
    <w:p w14:paraId="245A9819" w14:textId="77777777" w:rsidR="00587B3B" w:rsidRDefault="00587B3B" w:rsidP="00587B3B">
      <w:pPr>
        <w:pStyle w:val="ListParagraph"/>
        <w:jc w:val="both"/>
        <w:rPr>
          <w:sz w:val="20"/>
          <w:szCs w:val="22"/>
        </w:rPr>
      </w:pPr>
    </w:p>
    <w:p w14:paraId="4289C010"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Make FTP traffic model 3 mandatory for both RedCap and eMBB UEs – Huawei</w:t>
      </w:r>
    </w:p>
    <w:p w14:paraId="3999FC81" w14:textId="77777777" w:rsidR="00587B3B" w:rsidRDefault="00587B3B" w:rsidP="00587B3B">
      <w:pPr>
        <w:pStyle w:val="ListParagraph"/>
        <w:jc w:val="both"/>
        <w:rPr>
          <w:sz w:val="20"/>
          <w:szCs w:val="22"/>
        </w:rPr>
      </w:pPr>
      <w:r w:rsidRPr="0078730D">
        <w:rPr>
          <w:sz w:val="20"/>
          <w:szCs w:val="22"/>
          <w:highlight w:val="cyan"/>
        </w:rPr>
        <w:sym w:font="Wingdings" w:char="F0E0"/>
      </w:r>
      <w:r w:rsidRPr="0078730D">
        <w:rPr>
          <w:sz w:val="20"/>
          <w:szCs w:val="22"/>
          <w:highlight w:val="cyan"/>
        </w:rPr>
        <w:t xml:space="preserve"> FL perspective:</w:t>
      </w:r>
      <w:r>
        <w:rPr>
          <w:sz w:val="20"/>
          <w:szCs w:val="22"/>
        </w:rPr>
        <w:t xml:space="preserve"> The IM model has been agreed for RedCap UE power saving evaluation, it may not be suitable to make it optional for capacity evaluaiton. In the current template, the traffic model used for RedCap UEs is up to company to report</w:t>
      </w:r>
      <w:r w:rsidRPr="00FC674A">
        <w:rPr>
          <w:sz w:val="20"/>
          <w:szCs w:val="22"/>
        </w:rPr>
        <w:t xml:space="preserve"> From FL point of view, there is no issue to do so</w:t>
      </w:r>
      <w:r>
        <w:rPr>
          <w:sz w:val="20"/>
          <w:szCs w:val="22"/>
        </w:rPr>
        <w:t>.</w:t>
      </w:r>
    </w:p>
    <w:p w14:paraId="2A883297" w14:textId="77777777" w:rsidR="00587B3B" w:rsidRDefault="00587B3B" w:rsidP="00587B3B">
      <w:pPr>
        <w:pStyle w:val="ListParagraph"/>
        <w:jc w:val="both"/>
        <w:rPr>
          <w:sz w:val="20"/>
          <w:szCs w:val="22"/>
        </w:rPr>
      </w:pPr>
    </w:p>
    <w:p w14:paraId="46098958" w14:textId="77777777" w:rsidR="00587B3B" w:rsidRPr="0078730D" w:rsidRDefault="00587B3B" w:rsidP="00587B3B">
      <w:pPr>
        <w:pStyle w:val="ListParagraph"/>
        <w:numPr>
          <w:ilvl w:val="1"/>
          <w:numId w:val="14"/>
        </w:numPr>
        <w:jc w:val="both"/>
        <w:rPr>
          <w:b/>
          <w:sz w:val="20"/>
          <w:szCs w:val="22"/>
          <w:u w:val="single"/>
        </w:rPr>
      </w:pPr>
      <w:r>
        <w:rPr>
          <w:b/>
          <w:sz w:val="20"/>
          <w:szCs w:val="22"/>
          <w:u w:val="single"/>
        </w:rPr>
        <w:t>Use the same number of UEs for different RedCap UE ratios for the non-full buffer traffic– Huawei</w:t>
      </w:r>
    </w:p>
    <w:p w14:paraId="76E6E189" w14:textId="30EB7B40" w:rsidR="00587B3B" w:rsidRPr="00587B3B" w:rsidRDefault="00587B3B" w:rsidP="00587B3B">
      <w:pPr>
        <w:pStyle w:val="ListParagraph"/>
        <w:jc w:val="both"/>
        <w:rPr>
          <w:sz w:val="20"/>
          <w:szCs w:val="20"/>
          <w:lang w:val="en-US"/>
        </w:rPr>
      </w:pPr>
      <w:r w:rsidRPr="00587B3B">
        <w:rPr>
          <w:sz w:val="20"/>
          <w:szCs w:val="20"/>
          <w:highlight w:val="cyan"/>
        </w:rPr>
        <w:sym w:font="Wingdings" w:char="F0E0"/>
      </w:r>
      <w:r w:rsidRPr="00587B3B">
        <w:rPr>
          <w:sz w:val="20"/>
          <w:szCs w:val="20"/>
          <w:highlight w:val="cyan"/>
        </w:rPr>
        <w:t xml:space="preserve"> FL perspective: </w:t>
      </w:r>
      <w:r w:rsidRPr="00587B3B">
        <w:rPr>
          <w:sz w:val="20"/>
          <w:szCs w:val="20"/>
        </w:rPr>
        <w:t xml:space="preserve">The same comment has been raised in the 1st round of discussion. From FL point of view, the issue with this proposal is the actual RU for the high pencetage of RedCap UEs can be very low if the total number of UEs is based on 0% RedCap UE ratio, which may not be aligned with the agreement on the target RU. Also, </w:t>
      </w:r>
      <w:r w:rsidR="00B90408">
        <w:rPr>
          <w:sz w:val="20"/>
          <w:szCs w:val="20"/>
        </w:rPr>
        <w:t xml:space="preserve">using </w:t>
      </w:r>
      <w:r w:rsidRPr="00587B3B">
        <w:rPr>
          <w:sz w:val="20"/>
          <w:szCs w:val="20"/>
        </w:rPr>
        <w:t xml:space="preserve">the same loading irrespective of the ratio of RedCap UEs allows to evaluate the impact of UE complexity reduction to the legacy eMBB UEs. To address the concern from company, probably we can include that other SLS evaluation methodologies are not precluded, and companies are </w:t>
      </w:r>
      <w:r w:rsidRPr="00587B3B">
        <w:rPr>
          <w:sz w:val="20"/>
          <w:szCs w:val="20"/>
          <w:lang w:val="en-US"/>
        </w:rPr>
        <w:t>free to provide evaluation results in their contributions to RAN1#103-e.</w:t>
      </w:r>
    </w:p>
    <w:p w14:paraId="0F47151D" w14:textId="77777777" w:rsidR="00587B3B" w:rsidRPr="00345E33" w:rsidRDefault="00587B3B" w:rsidP="00587B3B">
      <w:pPr>
        <w:pStyle w:val="ListParagraph"/>
        <w:jc w:val="both"/>
        <w:rPr>
          <w:sz w:val="20"/>
          <w:szCs w:val="22"/>
        </w:rPr>
      </w:pPr>
    </w:p>
    <w:p w14:paraId="1FF02912" w14:textId="180E2002" w:rsidR="00587B3B" w:rsidRPr="002E1C7F" w:rsidRDefault="00587B3B" w:rsidP="00587B3B">
      <w:pPr>
        <w:jc w:val="both"/>
        <w:rPr>
          <w:b/>
          <w:bCs/>
        </w:rPr>
      </w:pPr>
      <w:r w:rsidRPr="002943CE">
        <w:rPr>
          <w:b/>
          <w:bCs/>
        </w:rPr>
        <w:t>Q</w:t>
      </w:r>
      <w:r>
        <w:rPr>
          <w:b/>
          <w:bCs/>
        </w:rPr>
        <w:t>uestion</w:t>
      </w:r>
      <w:r w:rsidRPr="002943CE">
        <w:rPr>
          <w:b/>
          <w:bCs/>
        </w:rPr>
        <w:t xml:space="preserve"> </w:t>
      </w:r>
      <w:r>
        <w:rPr>
          <w:b/>
          <w:bCs/>
        </w:rPr>
        <w:t>5-1</w:t>
      </w:r>
      <w:r w:rsidR="00817E03">
        <w:rPr>
          <w:b/>
          <w:bCs/>
        </w:rPr>
        <w:t>b</w:t>
      </w:r>
      <w:r w:rsidRPr="002943CE">
        <w:rPr>
          <w:b/>
          <w:bCs/>
        </w:rPr>
        <w:t xml:space="preserve">: </w:t>
      </w:r>
      <w:r>
        <w:rPr>
          <w:b/>
          <w:bCs/>
        </w:rPr>
        <w:t>Can the spreadsheet be used to collect the capacity impact evaluation results for UE complexity reduction? If not, what other aspects need to be added</w:t>
      </w:r>
      <w:r w:rsidRPr="002943CE">
        <w:rPr>
          <w:b/>
          <w:bCs/>
        </w:rPr>
        <w:t>?</w:t>
      </w:r>
      <w:r w:rsidR="00E46614">
        <w:rPr>
          <w:b/>
          <w:bCs/>
        </w:rPr>
        <w:t xml:space="preserve"> Please do not repeat earlier discussions.</w:t>
      </w:r>
    </w:p>
    <w:tbl>
      <w:tblPr>
        <w:tblStyle w:val="TableGrid"/>
        <w:tblW w:w="9634" w:type="dxa"/>
        <w:tblLook w:val="04A0" w:firstRow="1" w:lastRow="0" w:firstColumn="1" w:lastColumn="0" w:noHBand="0" w:noVBand="1"/>
      </w:tblPr>
      <w:tblGrid>
        <w:gridCol w:w="1838"/>
        <w:gridCol w:w="7796"/>
      </w:tblGrid>
      <w:tr w:rsidR="00587B3B" w14:paraId="4478C540" w14:textId="77777777" w:rsidTr="0026212F">
        <w:tc>
          <w:tcPr>
            <w:tcW w:w="1838" w:type="dxa"/>
            <w:shd w:val="clear" w:color="auto" w:fill="D9D9D9" w:themeFill="background1" w:themeFillShade="D9"/>
          </w:tcPr>
          <w:p w14:paraId="5B645055" w14:textId="77777777" w:rsidR="00587B3B" w:rsidRDefault="00587B3B" w:rsidP="0026212F">
            <w:pPr>
              <w:rPr>
                <w:b/>
                <w:bCs/>
              </w:rPr>
            </w:pPr>
            <w:r>
              <w:rPr>
                <w:b/>
                <w:bCs/>
              </w:rPr>
              <w:t>Company</w:t>
            </w:r>
          </w:p>
        </w:tc>
        <w:tc>
          <w:tcPr>
            <w:tcW w:w="7796" w:type="dxa"/>
            <w:shd w:val="clear" w:color="auto" w:fill="D9D9D9" w:themeFill="background1" w:themeFillShade="D9"/>
          </w:tcPr>
          <w:p w14:paraId="326AC0F2" w14:textId="77777777" w:rsidR="00587B3B" w:rsidRDefault="00587B3B" w:rsidP="0026212F">
            <w:pPr>
              <w:rPr>
                <w:b/>
                <w:bCs/>
              </w:rPr>
            </w:pPr>
            <w:r>
              <w:rPr>
                <w:b/>
                <w:bCs/>
              </w:rPr>
              <w:t>Comments</w:t>
            </w:r>
          </w:p>
        </w:tc>
      </w:tr>
      <w:tr w:rsidR="00587B3B" w14:paraId="3560E611" w14:textId="77777777" w:rsidTr="0026212F">
        <w:tc>
          <w:tcPr>
            <w:tcW w:w="1838" w:type="dxa"/>
          </w:tcPr>
          <w:p w14:paraId="68341113" w14:textId="77777777" w:rsidR="00587B3B" w:rsidRDefault="00587B3B" w:rsidP="0026212F">
            <w:pPr>
              <w:rPr>
                <w:lang w:val="en-US" w:eastAsia="ko-KR"/>
              </w:rPr>
            </w:pPr>
          </w:p>
        </w:tc>
        <w:tc>
          <w:tcPr>
            <w:tcW w:w="7796" w:type="dxa"/>
          </w:tcPr>
          <w:p w14:paraId="307FE42A" w14:textId="77777777" w:rsidR="00587B3B" w:rsidRPr="008E3AB5" w:rsidRDefault="00587B3B" w:rsidP="0026212F">
            <w:pPr>
              <w:rPr>
                <w:lang w:val="en-US"/>
              </w:rPr>
            </w:pPr>
          </w:p>
        </w:tc>
      </w:tr>
      <w:tr w:rsidR="00587B3B" w:rsidRPr="008E3AB5" w14:paraId="59910D96" w14:textId="77777777" w:rsidTr="0026212F">
        <w:tc>
          <w:tcPr>
            <w:tcW w:w="1838" w:type="dxa"/>
          </w:tcPr>
          <w:p w14:paraId="6166E69A" w14:textId="77777777" w:rsidR="00587B3B" w:rsidRDefault="00587B3B" w:rsidP="0026212F">
            <w:pPr>
              <w:rPr>
                <w:lang w:val="en-US" w:eastAsia="ko-KR"/>
              </w:rPr>
            </w:pPr>
          </w:p>
        </w:tc>
        <w:tc>
          <w:tcPr>
            <w:tcW w:w="7796" w:type="dxa"/>
          </w:tcPr>
          <w:p w14:paraId="43A98646" w14:textId="77777777" w:rsidR="00587B3B" w:rsidRPr="008E3AB5" w:rsidRDefault="00587B3B" w:rsidP="0026212F">
            <w:pPr>
              <w:rPr>
                <w:lang w:val="en-US"/>
              </w:rPr>
            </w:pPr>
          </w:p>
        </w:tc>
      </w:tr>
      <w:tr w:rsidR="00587B3B" w:rsidRPr="008E3AB5" w14:paraId="64160474" w14:textId="77777777" w:rsidTr="0026212F">
        <w:tc>
          <w:tcPr>
            <w:tcW w:w="1838" w:type="dxa"/>
          </w:tcPr>
          <w:p w14:paraId="2CC30B62" w14:textId="77777777" w:rsidR="00587B3B" w:rsidRDefault="00587B3B" w:rsidP="0026212F">
            <w:pPr>
              <w:rPr>
                <w:lang w:val="en-US" w:eastAsia="ko-KR"/>
              </w:rPr>
            </w:pPr>
          </w:p>
        </w:tc>
        <w:tc>
          <w:tcPr>
            <w:tcW w:w="7796" w:type="dxa"/>
          </w:tcPr>
          <w:p w14:paraId="51988AEA" w14:textId="77777777" w:rsidR="00587B3B" w:rsidRPr="008E3AB5" w:rsidRDefault="00587B3B" w:rsidP="0026212F">
            <w:pPr>
              <w:rPr>
                <w:lang w:val="en-US"/>
              </w:rPr>
            </w:pPr>
          </w:p>
        </w:tc>
      </w:tr>
    </w:tbl>
    <w:p w14:paraId="0D233405" w14:textId="77777777" w:rsidR="00FA6742" w:rsidRPr="00175FDD" w:rsidRDefault="00FA6742" w:rsidP="00175FDD">
      <w:pPr>
        <w:jc w:val="both"/>
        <w:rPr>
          <w:rFonts w:eastAsia="等线"/>
          <w:lang w:val="en-US" w:eastAsia="zh-CN"/>
        </w:rPr>
      </w:pPr>
    </w:p>
    <w:sectPr w:rsidR="00FA6742" w:rsidRPr="00175FD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5A98E" w14:textId="77777777" w:rsidR="00E640B5" w:rsidRDefault="00E640B5" w:rsidP="00581A60">
      <w:pPr>
        <w:spacing w:after="0"/>
      </w:pPr>
      <w:r>
        <w:separator/>
      </w:r>
    </w:p>
  </w:endnote>
  <w:endnote w:type="continuationSeparator" w:id="0">
    <w:p w14:paraId="5891FE99" w14:textId="77777777" w:rsidR="00E640B5" w:rsidRDefault="00E640B5" w:rsidP="00581A60">
      <w:pPr>
        <w:spacing w:after="0"/>
      </w:pPr>
      <w:r>
        <w:continuationSeparator/>
      </w:r>
    </w:p>
  </w:endnote>
  <w:endnote w:type="continuationNotice" w:id="1">
    <w:p w14:paraId="1B3460C3" w14:textId="77777777" w:rsidR="00E640B5" w:rsidRDefault="00E640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5A1E0" w14:textId="77777777" w:rsidR="00E640B5" w:rsidRDefault="00E640B5" w:rsidP="00581A60">
      <w:pPr>
        <w:spacing w:after="0"/>
      </w:pPr>
      <w:r>
        <w:separator/>
      </w:r>
    </w:p>
  </w:footnote>
  <w:footnote w:type="continuationSeparator" w:id="0">
    <w:p w14:paraId="7D513556" w14:textId="77777777" w:rsidR="00E640B5" w:rsidRDefault="00E640B5" w:rsidP="00581A60">
      <w:pPr>
        <w:spacing w:after="0"/>
      </w:pPr>
      <w:r>
        <w:continuationSeparator/>
      </w:r>
    </w:p>
  </w:footnote>
  <w:footnote w:type="continuationNotice" w:id="1">
    <w:p w14:paraId="306B4BF5" w14:textId="77777777" w:rsidR="00E640B5" w:rsidRDefault="00E640B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40FE1"/>
    <w:multiLevelType w:val="hybridMultilevel"/>
    <w:tmpl w:val="CBC0F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3E45396"/>
    <w:multiLevelType w:val="multilevel"/>
    <w:tmpl w:val="7C90FE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5C45A9"/>
    <w:multiLevelType w:val="multilevel"/>
    <w:tmpl w:val="C64867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0" w15:restartNumberingAfterBreak="0">
    <w:nsid w:val="5C5C7A2F"/>
    <w:multiLevelType w:val="hybridMultilevel"/>
    <w:tmpl w:val="67E651AE"/>
    <w:lvl w:ilvl="0" w:tplc="C7B8733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C1896"/>
    <w:multiLevelType w:val="hybridMultilevel"/>
    <w:tmpl w:val="C1AC87FE"/>
    <w:lvl w:ilvl="0" w:tplc="DD50D40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A364778"/>
    <w:multiLevelType w:val="hybridMultilevel"/>
    <w:tmpl w:val="F71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3"/>
  </w:num>
  <w:num w:numId="4">
    <w:abstractNumId w:val="2"/>
  </w:num>
  <w:num w:numId="5">
    <w:abstractNumId w:val="3"/>
  </w:num>
  <w:num w:numId="6">
    <w:abstractNumId w:val="5"/>
  </w:num>
  <w:num w:numId="7">
    <w:abstractNumId w:val="10"/>
  </w:num>
  <w:num w:numId="8">
    <w:abstractNumId w:val="14"/>
  </w:num>
  <w:num w:numId="9">
    <w:abstractNumId w:val="12"/>
  </w:num>
  <w:num w:numId="10">
    <w:abstractNumId w:val="4"/>
  </w:num>
  <w:num w:numId="11">
    <w:abstractNumId w:val="7"/>
  </w:num>
  <w:num w:numId="12">
    <w:abstractNumId w:val="11"/>
  </w:num>
  <w:num w:numId="13">
    <w:abstractNumId w:val="6"/>
  </w:num>
  <w:num w:numId="14">
    <w:abstractNumId w:val="8"/>
  </w:num>
  <w:num w:numId="15">
    <w:abstractNumId w:val="15"/>
  </w:num>
  <w:num w:numId="1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9E"/>
    <w:rsid w:val="000142D9"/>
    <w:rsid w:val="00014845"/>
    <w:rsid w:val="00014BCC"/>
    <w:rsid w:val="00015A1E"/>
    <w:rsid w:val="00016C29"/>
    <w:rsid w:val="0001767F"/>
    <w:rsid w:val="00017A75"/>
    <w:rsid w:val="0002232B"/>
    <w:rsid w:val="00026632"/>
    <w:rsid w:val="00026B7F"/>
    <w:rsid w:val="00026EA7"/>
    <w:rsid w:val="000273BB"/>
    <w:rsid w:val="000304F8"/>
    <w:rsid w:val="00030823"/>
    <w:rsid w:val="00030AFA"/>
    <w:rsid w:val="00031788"/>
    <w:rsid w:val="00032214"/>
    <w:rsid w:val="00032FBD"/>
    <w:rsid w:val="000330D1"/>
    <w:rsid w:val="000333BF"/>
    <w:rsid w:val="0003392F"/>
    <w:rsid w:val="00033BF7"/>
    <w:rsid w:val="00034387"/>
    <w:rsid w:val="00035D84"/>
    <w:rsid w:val="000360C3"/>
    <w:rsid w:val="00036876"/>
    <w:rsid w:val="00042AC6"/>
    <w:rsid w:val="00042D81"/>
    <w:rsid w:val="00043202"/>
    <w:rsid w:val="00043656"/>
    <w:rsid w:val="000437F2"/>
    <w:rsid w:val="00045092"/>
    <w:rsid w:val="00045AC9"/>
    <w:rsid w:val="00045D30"/>
    <w:rsid w:val="00045E9D"/>
    <w:rsid w:val="00046034"/>
    <w:rsid w:val="00047360"/>
    <w:rsid w:val="00047808"/>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0DA0"/>
    <w:rsid w:val="000B1665"/>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136"/>
    <w:rsid w:val="000C261D"/>
    <w:rsid w:val="000C2717"/>
    <w:rsid w:val="000C2B2C"/>
    <w:rsid w:val="000C47DC"/>
    <w:rsid w:val="000C4E07"/>
    <w:rsid w:val="000C617E"/>
    <w:rsid w:val="000C66B0"/>
    <w:rsid w:val="000C6A56"/>
    <w:rsid w:val="000C6E7B"/>
    <w:rsid w:val="000C77B9"/>
    <w:rsid w:val="000C7FC0"/>
    <w:rsid w:val="000D0910"/>
    <w:rsid w:val="000D0FC5"/>
    <w:rsid w:val="000D15DD"/>
    <w:rsid w:val="000D3423"/>
    <w:rsid w:val="000D3A31"/>
    <w:rsid w:val="000D3B95"/>
    <w:rsid w:val="000D3E52"/>
    <w:rsid w:val="000D40C3"/>
    <w:rsid w:val="000D42C8"/>
    <w:rsid w:val="000D4547"/>
    <w:rsid w:val="000D566D"/>
    <w:rsid w:val="000D6CBF"/>
    <w:rsid w:val="000D7169"/>
    <w:rsid w:val="000D7CD7"/>
    <w:rsid w:val="000D7FA9"/>
    <w:rsid w:val="000E430D"/>
    <w:rsid w:val="000E4A6F"/>
    <w:rsid w:val="000E4CCF"/>
    <w:rsid w:val="000E4CF6"/>
    <w:rsid w:val="000E703D"/>
    <w:rsid w:val="000F06E7"/>
    <w:rsid w:val="000F311B"/>
    <w:rsid w:val="000F4412"/>
    <w:rsid w:val="000F4B59"/>
    <w:rsid w:val="000F4D8E"/>
    <w:rsid w:val="000F5497"/>
    <w:rsid w:val="000F568D"/>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C6B"/>
    <w:rsid w:val="00131D7C"/>
    <w:rsid w:val="00132A12"/>
    <w:rsid w:val="00132AC4"/>
    <w:rsid w:val="00133017"/>
    <w:rsid w:val="00133461"/>
    <w:rsid w:val="0013398F"/>
    <w:rsid w:val="001346F3"/>
    <w:rsid w:val="00134AD5"/>
    <w:rsid w:val="0013578A"/>
    <w:rsid w:val="00136A1D"/>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6E0B"/>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1F7B15"/>
    <w:rsid w:val="002000FE"/>
    <w:rsid w:val="00200633"/>
    <w:rsid w:val="002029A8"/>
    <w:rsid w:val="002038E2"/>
    <w:rsid w:val="0020462E"/>
    <w:rsid w:val="00204A88"/>
    <w:rsid w:val="00204CB2"/>
    <w:rsid w:val="0020509B"/>
    <w:rsid w:val="002050F4"/>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4D2F"/>
    <w:rsid w:val="00225C61"/>
    <w:rsid w:val="00226F13"/>
    <w:rsid w:val="00227875"/>
    <w:rsid w:val="002322FD"/>
    <w:rsid w:val="00232B66"/>
    <w:rsid w:val="00232CBE"/>
    <w:rsid w:val="00232E49"/>
    <w:rsid w:val="00233052"/>
    <w:rsid w:val="0023340A"/>
    <w:rsid w:val="00234561"/>
    <w:rsid w:val="00234F65"/>
    <w:rsid w:val="002354B1"/>
    <w:rsid w:val="00235B6A"/>
    <w:rsid w:val="00235C55"/>
    <w:rsid w:val="002367BD"/>
    <w:rsid w:val="0023691C"/>
    <w:rsid w:val="002369B7"/>
    <w:rsid w:val="0023727F"/>
    <w:rsid w:val="0023776C"/>
    <w:rsid w:val="0024197E"/>
    <w:rsid w:val="00242453"/>
    <w:rsid w:val="00242F71"/>
    <w:rsid w:val="002450B6"/>
    <w:rsid w:val="00245790"/>
    <w:rsid w:val="00245A1A"/>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1980"/>
    <w:rsid w:val="00261B56"/>
    <w:rsid w:val="00261F1B"/>
    <w:rsid w:val="00262F5E"/>
    <w:rsid w:val="002638C2"/>
    <w:rsid w:val="002645BC"/>
    <w:rsid w:val="00264A4E"/>
    <w:rsid w:val="00264F89"/>
    <w:rsid w:val="0026526B"/>
    <w:rsid w:val="002652D8"/>
    <w:rsid w:val="002656C6"/>
    <w:rsid w:val="00265895"/>
    <w:rsid w:val="0026617C"/>
    <w:rsid w:val="0026629C"/>
    <w:rsid w:val="002668BA"/>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B42"/>
    <w:rsid w:val="00286D76"/>
    <w:rsid w:val="00286EB8"/>
    <w:rsid w:val="00287687"/>
    <w:rsid w:val="0029085D"/>
    <w:rsid w:val="00290C34"/>
    <w:rsid w:val="00290E7C"/>
    <w:rsid w:val="0029303E"/>
    <w:rsid w:val="00293E49"/>
    <w:rsid w:val="00294584"/>
    <w:rsid w:val="00295196"/>
    <w:rsid w:val="0029565F"/>
    <w:rsid w:val="0029589A"/>
    <w:rsid w:val="00295D49"/>
    <w:rsid w:val="002979D0"/>
    <w:rsid w:val="002A0388"/>
    <w:rsid w:val="002A04D0"/>
    <w:rsid w:val="002A0BFB"/>
    <w:rsid w:val="002A0D2B"/>
    <w:rsid w:val="002A146B"/>
    <w:rsid w:val="002A1F4D"/>
    <w:rsid w:val="002A2733"/>
    <w:rsid w:val="002A3E30"/>
    <w:rsid w:val="002A4332"/>
    <w:rsid w:val="002A4371"/>
    <w:rsid w:val="002A7AC4"/>
    <w:rsid w:val="002B10FC"/>
    <w:rsid w:val="002B11FD"/>
    <w:rsid w:val="002B1A97"/>
    <w:rsid w:val="002B1D5A"/>
    <w:rsid w:val="002B2054"/>
    <w:rsid w:val="002B3735"/>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629"/>
    <w:rsid w:val="002C491E"/>
    <w:rsid w:val="002C644A"/>
    <w:rsid w:val="002C71D3"/>
    <w:rsid w:val="002D00AA"/>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022"/>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E12"/>
    <w:rsid w:val="003269A7"/>
    <w:rsid w:val="00326CCA"/>
    <w:rsid w:val="00327051"/>
    <w:rsid w:val="00327279"/>
    <w:rsid w:val="00327334"/>
    <w:rsid w:val="003274BB"/>
    <w:rsid w:val="003317D6"/>
    <w:rsid w:val="00331F05"/>
    <w:rsid w:val="003325CB"/>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254E"/>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93"/>
    <w:rsid w:val="003D5CF5"/>
    <w:rsid w:val="003D70B6"/>
    <w:rsid w:val="003D7146"/>
    <w:rsid w:val="003D7364"/>
    <w:rsid w:val="003D7372"/>
    <w:rsid w:val="003D76A6"/>
    <w:rsid w:val="003D7E7B"/>
    <w:rsid w:val="003E00F8"/>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E75F8"/>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5F8D"/>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4EA0"/>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376AF"/>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05F"/>
    <w:rsid w:val="00456D6A"/>
    <w:rsid w:val="0045746C"/>
    <w:rsid w:val="004606DA"/>
    <w:rsid w:val="00461224"/>
    <w:rsid w:val="00461692"/>
    <w:rsid w:val="00462CC5"/>
    <w:rsid w:val="00463A3D"/>
    <w:rsid w:val="00463ACC"/>
    <w:rsid w:val="0046449D"/>
    <w:rsid w:val="00465561"/>
    <w:rsid w:val="004658B0"/>
    <w:rsid w:val="00465912"/>
    <w:rsid w:val="00466592"/>
    <w:rsid w:val="0046699C"/>
    <w:rsid w:val="00470901"/>
    <w:rsid w:val="00473A8C"/>
    <w:rsid w:val="00474E9A"/>
    <w:rsid w:val="0047569D"/>
    <w:rsid w:val="00476334"/>
    <w:rsid w:val="0047692B"/>
    <w:rsid w:val="004803B2"/>
    <w:rsid w:val="0048086E"/>
    <w:rsid w:val="00481088"/>
    <w:rsid w:val="00482819"/>
    <w:rsid w:val="00484869"/>
    <w:rsid w:val="00490D5E"/>
    <w:rsid w:val="0049107C"/>
    <w:rsid w:val="00492050"/>
    <w:rsid w:val="0049208C"/>
    <w:rsid w:val="00492575"/>
    <w:rsid w:val="004929F1"/>
    <w:rsid w:val="0049395F"/>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873"/>
    <w:rsid w:val="004D3BA2"/>
    <w:rsid w:val="004D3F47"/>
    <w:rsid w:val="004D4274"/>
    <w:rsid w:val="004D5623"/>
    <w:rsid w:val="004D5CDE"/>
    <w:rsid w:val="004D5ED4"/>
    <w:rsid w:val="004D5EE6"/>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5A8E"/>
    <w:rsid w:val="0050644B"/>
    <w:rsid w:val="00507198"/>
    <w:rsid w:val="0050772A"/>
    <w:rsid w:val="00507FE7"/>
    <w:rsid w:val="00511B93"/>
    <w:rsid w:val="00511D8A"/>
    <w:rsid w:val="0051203F"/>
    <w:rsid w:val="00512334"/>
    <w:rsid w:val="00512C15"/>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6CD9"/>
    <w:rsid w:val="0052780F"/>
    <w:rsid w:val="0053034A"/>
    <w:rsid w:val="0053046A"/>
    <w:rsid w:val="00531030"/>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51F"/>
    <w:rsid w:val="00550CC6"/>
    <w:rsid w:val="00551D8E"/>
    <w:rsid w:val="00552401"/>
    <w:rsid w:val="0055352D"/>
    <w:rsid w:val="00553538"/>
    <w:rsid w:val="0055387A"/>
    <w:rsid w:val="005539B2"/>
    <w:rsid w:val="005541CD"/>
    <w:rsid w:val="00556255"/>
    <w:rsid w:val="005576FF"/>
    <w:rsid w:val="005610F9"/>
    <w:rsid w:val="005611BC"/>
    <w:rsid w:val="00562704"/>
    <w:rsid w:val="005633C9"/>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87B3B"/>
    <w:rsid w:val="00590DDD"/>
    <w:rsid w:val="00591B65"/>
    <w:rsid w:val="00591D70"/>
    <w:rsid w:val="00591FD3"/>
    <w:rsid w:val="005928A2"/>
    <w:rsid w:val="00592F8A"/>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0E0"/>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30E"/>
    <w:rsid w:val="005F2CC3"/>
    <w:rsid w:val="005F42B5"/>
    <w:rsid w:val="005F42C2"/>
    <w:rsid w:val="005F4373"/>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699F"/>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8D3"/>
    <w:rsid w:val="00633C5B"/>
    <w:rsid w:val="00633F13"/>
    <w:rsid w:val="00634094"/>
    <w:rsid w:val="00634D87"/>
    <w:rsid w:val="00635132"/>
    <w:rsid w:val="006366A3"/>
    <w:rsid w:val="006376C6"/>
    <w:rsid w:val="00637A13"/>
    <w:rsid w:val="00637DED"/>
    <w:rsid w:val="00640C0A"/>
    <w:rsid w:val="0064105B"/>
    <w:rsid w:val="00642D62"/>
    <w:rsid w:val="00644108"/>
    <w:rsid w:val="006447A3"/>
    <w:rsid w:val="00644B40"/>
    <w:rsid w:val="00644D12"/>
    <w:rsid w:val="00645909"/>
    <w:rsid w:val="006467AE"/>
    <w:rsid w:val="00646824"/>
    <w:rsid w:val="00647454"/>
    <w:rsid w:val="006476FE"/>
    <w:rsid w:val="00650316"/>
    <w:rsid w:val="006504DD"/>
    <w:rsid w:val="0065084A"/>
    <w:rsid w:val="00650A6A"/>
    <w:rsid w:val="00650D8C"/>
    <w:rsid w:val="00651A3F"/>
    <w:rsid w:val="00651FA4"/>
    <w:rsid w:val="006531A0"/>
    <w:rsid w:val="00653ADE"/>
    <w:rsid w:val="006545B0"/>
    <w:rsid w:val="00654971"/>
    <w:rsid w:val="00655B58"/>
    <w:rsid w:val="00656B7A"/>
    <w:rsid w:val="006575C1"/>
    <w:rsid w:val="00661143"/>
    <w:rsid w:val="006621AE"/>
    <w:rsid w:val="00663E8F"/>
    <w:rsid w:val="00665673"/>
    <w:rsid w:val="00666235"/>
    <w:rsid w:val="0066694B"/>
    <w:rsid w:val="00666F23"/>
    <w:rsid w:val="00670328"/>
    <w:rsid w:val="0067057F"/>
    <w:rsid w:val="00671B82"/>
    <w:rsid w:val="00672D04"/>
    <w:rsid w:val="00673238"/>
    <w:rsid w:val="00673E75"/>
    <w:rsid w:val="00674FCA"/>
    <w:rsid w:val="00676105"/>
    <w:rsid w:val="0067720F"/>
    <w:rsid w:val="00680D00"/>
    <w:rsid w:val="0068147D"/>
    <w:rsid w:val="0068267A"/>
    <w:rsid w:val="00683492"/>
    <w:rsid w:val="00683FAA"/>
    <w:rsid w:val="00684650"/>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3C9"/>
    <w:rsid w:val="006A4A31"/>
    <w:rsid w:val="006A4F1E"/>
    <w:rsid w:val="006A53AF"/>
    <w:rsid w:val="006A64AC"/>
    <w:rsid w:val="006A76D6"/>
    <w:rsid w:val="006B0277"/>
    <w:rsid w:val="006B087C"/>
    <w:rsid w:val="006B1337"/>
    <w:rsid w:val="006B214D"/>
    <w:rsid w:val="006B3541"/>
    <w:rsid w:val="006B3561"/>
    <w:rsid w:val="006B3BBD"/>
    <w:rsid w:val="006B40E0"/>
    <w:rsid w:val="006B45CD"/>
    <w:rsid w:val="006B4955"/>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3E0E"/>
    <w:rsid w:val="006D4870"/>
    <w:rsid w:val="006D5021"/>
    <w:rsid w:val="006D5183"/>
    <w:rsid w:val="006D7CE7"/>
    <w:rsid w:val="006E0F5D"/>
    <w:rsid w:val="006E112B"/>
    <w:rsid w:val="006E364B"/>
    <w:rsid w:val="006E4570"/>
    <w:rsid w:val="006E64F2"/>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6F7C"/>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1AC6"/>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45CA2"/>
    <w:rsid w:val="007509E6"/>
    <w:rsid w:val="00751577"/>
    <w:rsid w:val="00751E83"/>
    <w:rsid w:val="00751F25"/>
    <w:rsid w:val="0075288F"/>
    <w:rsid w:val="0075297E"/>
    <w:rsid w:val="00752F4D"/>
    <w:rsid w:val="007537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80B8C"/>
    <w:rsid w:val="007818FF"/>
    <w:rsid w:val="00782839"/>
    <w:rsid w:val="00783112"/>
    <w:rsid w:val="00783569"/>
    <w:rsid w:val="007836A6"/>
    <w:rsid w:val="00783863"/>
    <w:rsid w:val="00783E7A"/>
    <w:rsid w:val="00784958"/>
    <w:rsid w:val="00784E64"/>
    <w:rsid w:val="00785194"/>
    <w:rsid w:val="00785754"/>
    <w:rsid w:val="007866CE"/>
    <w:rsid w:val="00786847"/>
    <w:rsid w:val="00787FBE"/>
    <w:rsid w:val="0079026A"/>
    <w:rsid w:val="007909D3"/>
    <w:rsid w:val="00790E07"/>
    <w:rsid w:val="00790E47"/>
    <w:rsid w:val="007915FA"/>
    <w:rsid w:val="007929D3"/>
    <w:rsid w:val="00792FEF"/>
    <w:rsid w:val="0079410F"/>
    <w:rsid w:val="0079500C"/>
    <w:rsid w:val="00796255"/>
    <w:rsid w:val="007965C2"/>
    <w:rsid w:val="00797FF4"/>
    <w:rsid w:val="007A0532"/>
    <w:rsid w:val="007A08E3"/>
    <w:rsid w:val="007A0969"/>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C0E"/>
    <w:rsid w:val="00817D4C"/>
    <w:rsid w:val="00817D93"/>
    <w:rsid w:val="00817E0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4B2"/>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728"/>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8CF"/>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1B2A"/>
    <w:rsid w:val="008C20A0"/>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09C"/>
    <w:rsid w:val="009048B1"/>
    <w:rsid w:val="00904D09"/>
    <w:rsid w:val="009050A5"/>
    <w:rsid w:val="00905E4E"/>
    <w:rsid w:val="00906AF4"/>
    <w:rsid w:val="0090705F"/>
    <w:rsid w:val="009105F0"/>
    <w:rsid w:val="009107A9"/>
    <w:rsid w:val="00911797"/>
    <w:rsid w:val="0091221B"/>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469"/>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5B29"/>
    <w:rsid w:val="009666F4"/>
    <w:rsid w:val="00967DE7"/>
    <w:rsid w:val="00970B62"/>
    <w:rsid w:val="009715E4"/>
    <w:rsid w:val="009726C3"/>
    <w:rsid w:val="00972775"/>
    <w:rsid w:val="00972BF3"/>
    <w:rsid w:val="00972F23"/>
    <w:rsid w:val="00972FFA"/>
    <w:rsid w:val="00973C95"/>
    <w:rsid w:val="0097510B"/>
    <w:rsid w:val="00976101"/>
    <w:rsid w:val="0097645E"/>
    <w:rsid w:val="00976AEE"/>
    <w:rsid w:val="0097722A"/>
    <w:rsid w:val="00977DF9"/>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55A4"/>
    <w:rsid w:val="009B6F8A"/>
    <w:rsid w:val="009B78F0"/>
    <w:rsid w:val="009C08BD"/>
    <w:rsid w:val="009C159D"/>
    <w:rsid w:val="009C28BE"/>
    <w:rsid w:val="009C38E4"/>
    <w:rsid w:val="009C4C29"/>
    <w:rsid w:val="009C4D63"/>
    <w:rsid w:val="009C505C"/>
    <w:rsid w:val="009C60BB"/>
    <w:rsid w:val="009C6BBF"/>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A57"/>
    <w:rsid w:val="00A17F0E"/>
    <w:rsid w:val="00A20184"/>
    <w:rsid w:val="00A207AE"/>
    <w:rsid w:val="00A21498"/>
    <w:rsid w:val="00A217E6"/>
    <w:rsid w:val="00A222A6"/>
    <w:rsid w:val="00A2330C"/>
    <w:rsid w:val="00A23C99"/>
    <w:rsid w:val="00A24742"/>
    <w:rsid w:val="00A24C20"/>
    <w:rsid w:val="00A27605"/>
    <w:rsid w:val="00A30542"/>
    <w:rsid w:val="00A3057A"/>
    <w:rsid w:val="00A30D69"/>
    <w:rsid w:val="00A31C57"/>
    <w:rsid w:val="00A31FDA"/>
    <w:rsid w:val="00A32744"/>
    <w:rsid w:val="00A32E8A"/>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5AFB"/>
    <w:rsid w:val="00A67471"/>
    <w:rsid w:val="00A67672"/>
    <w:rsid w:val="00A70611"/>
    <w:rsid w:val="00A70F03"/>
    <w:rsid w:val="00A71B05"/>
    <w:rsid w:val="00A723C3"/>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DFF"/>
    <w:rsid w:val="00A96F9E"/>
    <w:rsid w:val="00A9746E"/>
    <w:rsid w:val="00AA0003"/>
    <w:rsid w:val="00AA029D"/>
    <w:rsid w:val="00AA19EE"/>
    <w:rsid w:val="00AA1C8D"/>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441"/>
    <w:rsid w:val="00AF1E10"/>
    <w:rsid w:val="00AF1F79"/>
    <w:rsid w:val="00AF35B7"/>
    <w:rsid w:val="00AF3924"/>
    <w:rsid w:val="00AF3B75"/>
    <w:rsid w:val="00AF4503"/>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B35"/>
    <w:rsid w:val="00B20D19"/>
    <w:rsid w:val="00B21611"/>
    <w:rsid w:val="00B21653"/>
    <w:rsid w:val="00B2297A"/>
    <w:rsid w:val="00B22E2C"/>
    <w:rsid w:val="00B23F36"/>
    <w:rsid w:val="00B24070"/>
    <w:rsid w:val="00B24126"/>
    <w:rsid w:val="00B24CA9"/>
    <w:rsid w:val="00B2564C"/>
    <w:rsid w:val="00B25836"/>
    <w:rsid w:val="00B26410"/>
    <w:rsid w:val="00B31F47"/>
    <w:rsid w:val="00B32D97"/>
    <w:rsid w:val="00B3550B"/>
    <w:rsid w:val="00B360C3"/>
    <w:rsid w:val="00B3650B"/>
    <w:rsid w:val="00B377C1"/>
    <w:rsid w:val="00B378B8"/>
    <w:rsid w:val="00B37A47"/>
    <w:rsid w:val="00B40205"/>
    <w:rsid w:val="00B42E72"/>
    <w:rsid w:val="00B42FF3"/>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C86"/>
    <w:rsid w:val="00B610A7"/>
    <w:rsid w:val="00B6177F"/>
    <w:rsid w:val="00B6197C"/>
    <w:rsid w:val="00B6316F"/>
    <w:rsid w:val="00B637C0"/>
    <w:rsid w:val="00B643B1"/>
    <w:rsid w:val="00B649C8"/>
    <w:rsid w:val="00B661D6"/>
    <w:rsid w:val="00B672CD"/>
    <w:rsid w:val="00B71029"/>
    <w:rsid w:val="00B7187B"/>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3DB"/>
    <w:rsid w:val="00B90408"/>
    <w:rsid w:val="00B90922"/>
    <w:rsid w:val="00B913C2"/>
    <w:rsid w:val="00B9234A"/>
    <w:rsid w:val="00B92F00"/>
    <w:rsid w:val="00B94D03"/>
    <w:rsid w:val="00B962C0"/>
    <w:rsid w:val="00B9637A"/>
    <w:rsid w:val="00BA08EF"/>
    <w:rsid w:val="00BA09D5"/>
    <w:rsid w:val="00BA0FAD"/>
    <w:rsid w:val="00BA12C1"/>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520D"/>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204"/>
    <w:rsid w:val="00C14B04"/>
    <w:rsid w:val="00C14F6A"/>
    <w:rsid w:val="00C15EE2"/>
    <w:rsid w:val="00C165F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15F4"/>
    <w:rsid w:val="00C82CA3"/>
    <w:rsid w:val="00C82F7B"/>
    <w:rsid w:val="00C836B8"/>
    <w:rsid w:val="00C83E40"/>
    <w:rsid w:val="00C84DB9"/>
    <w:rsid w:val="00C862D1"/>
    <w:rsid w:val="00C863F9"/>
    <w:rsid w:val="00C86400"/>
    <w:rsid w:val="00C90359"/>
    <w:rsid w:val="00C9063A"/>
    <w:rsid w:val="00C90D1E"/>
    <w:rsid w:val="00C90E49"/>
    <w:rsid w:val="00C918F5"/>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264A"/>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342"/>
    <w:rsid w:val="00CE0ACA"/>
    <w:rsid w:val="00CE0AFF"/>
    <w:rsid w:val="00CE0F84"/>
    <w:rsid w:val="00CE1F4D"/>
    <w:rsid w:val="00CE3B71"/>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6D15"/>
    <w:rsid w:val="00D0790E"/>
    <w:rsid w:val="00D10E1B"/>
    <w:rsid w:val="00D111E5"/>
    <w:rsid w:val="00D1127C"/>
    <w:rsid w:val="00D11613"/>
    <w:rsid w:val="00D1205F"/>
    <w:rsid w:val="00D1353F"/>
    <w:rsid w:val="00D13F6C"/>
    <w:rsid w:val="00D14567"/>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353"/>
    <w:rsid w:val="00D30B21"/>
    <w:rsid w:val="00D32191"/>
    <w:rsid w:val="00D334D8"/>
    <w:rsid w:val="00D334E0"/>
    <w:rsid w:val="00D33D49"/>
    <w:rsid w:val="00D35140"/>
    <w:rsid w:val="00D35349"/>
    <w:rsid w:val="00D36D01"/>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1C63"/>
    <w:rsid w:val="00D8381B"/>
    <w:rsid w:val="00D8398E"/>
    <w:rsid w:val="00D83B49"/>
    <w:rsid w:val="00D84191"/>
    <w:rsid w:val="00D85414"/>
    <w:rsid w:val="00D8570A"/>
    <w:rsid w:val="00D86651"/>
    <w:rsid w:val="00D8770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B6CCD"/>
    <w:rsid w:val="00DC099E"/>
    <w:rsid w:val="00DC0B93"/>
    <w:rsid w:val="00DC24CE"/>
    <w:rsid w:val="00DC2D0F"/>
    <w:rsid w:val="00DC2DB6"/>
    <w:rsid w:val="00DC2F73"/>
    <w:rsid w:val="00DC4008"/>
    <w:rsid w:val="00DC4577"/>
    <w:rsid w:val="00DC4B4C"/>
    <w:rsid w:val="00DC4CAA"/>
    <w:rsid w:val="00DC4E30"/>
    <w:rsid w:val="00DC51CC"/>
    <w:rsid w:val="00DC571F"/>
    <w:rsid w:val="00DC5BBF"/>
    <w:rsid w:val="00DC5C65"/>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2DD"/>
    <w:rsid w:val="00DE4E98"/>
    <w:rsid w:val="00DE5F63"/>
    <w:rsid w:val="00DE6138"/>
    <w:rsid w:val="00DE6493"/>
    <w:rsid w:val="00DE6578"/>
    <w:rsid w:val="00DE6EE4"/>
    <w:rsid w:val="00DE7665"/>
    <w:rsid w:val="00DF190A"/>
    <w:rsid w:val="00DF34E0"/>
    <w:rsid w:val="00DF38C0"/>
    <w:rsid w:val="00DF397A"/>
    <w:rsid w:val="00DF3AFC"/>
    <w:rsid w:val="00DF3BB9"/>
    <w:rsid w:val="00DF4140"/>
    <w:rsid w:val="00DF4951"/>
    <w:rsid w:val="00DF6736"/>
    <w:rsid w:val="00DF6910"/>
    <w:rsid w:val="00DF6D0B"/>
    <w:rsid w:val="00DF6E24"/>
    <w:rsid w:val="00DF7EB6"/>
    <w:rsid w:val="00E00056"/>
    <w:rsid w:val="00E009FC"/>
    <w:rsid w:val="00E0152B"/>
    <w:rsid w:val="00E01C97"/>
    <w:rsid w:val="00E0298D"/>
    <w:rsid w:val="00E02C0B"/>
    <w:rsid w:val="00E02CFD"/>
    <w:rsid w:val="00E03073"/>
    <w:rsid w:val="00E0439A"/>
    <w:rsid w:val="00E048AA"/>
    <w:rsid w:val="00E0504D"/>
    <w:rsid w:val="00E0658D"/>
    <w:rsid w:val="00E069EA"/>
    <w:rsid w:val="00E07834"/>
    <w:rsid w:val="00E07E96"/>
    <w:rsid w:val="00E11924"/>
    <w:rsid w:val="00E12D94"/>
    <w:rsid w:val="00E12F91"/>
    <w:rsid w:val="00E138EB"/>
    <w:rsid w:val="00E13A0A"/>
    <w:rsid w:val="00E13B31"/>
    <w:rsid w:val="00E14BAC"/>
    <w:rsid w:val="00E15BE2"/>
    <w:rsid w:val="00E16B77"/>
    <w:rsid w:val="00E179EF"/>
    <w:rsid w:val="00E22105"/>
    <w:rsid w:val="00E227A6"/>
    <w:rsid w:val="00E228C3"/>
    <w:rsid w:val="00E24426"/>
    <w:rsid w:val="00E24A2D"/>
    <w:rsid w:val="00E24D36"/>
    <w:rsid w:val="00E26513"/>
    <w:rsid w:val="00E26E5D"/>
    <w:rsid w:val="00E302F8"/>
    <w:rsid w:val="00E32C9A"/>
    <w:rsid w:val="00E33635"/>
    <w:rsid w:val="00E34A19"/>
    <w:rsid w:val="00E34D0F"/>
    <w:rsid w:val="00E35730"/>
    <w:rsid w:val="00E35769"/>
    <w:rsid w:val="00E36517"/>
    <w:rsid w:val="00E37832"/>
    <w:rsid w:val="00E41CEE"/>
    <w:rsid w:val="00E41E22"/>
    <w:rsid w:val="00E42154"/>
    <w:rsid w:val="00E422F9"/>
    <w:rsid w:val="00E43F9A"/>
    <w:rsid w:val="00E44584"/>
    <w:rsid w:val="00E4502C"/>
    <w:rsid w:val="00E45811"/>
    <w:rsid w:val="00E46614"/>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0B5"/>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3B83"/>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3FD2"/>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2EB"/>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4D0E"/>
    <w:rsid w:val="00ED5BA0"/>
    <w:rsid w:val="00ED5FD2"/>
    <w:rsid w:val="00ED6D1D"/>
    <w:rsid w:val="00ED6D88"/>
    <w:rsid w:val="00ED7C37"/>
    <w:rsid w:val="00EE11B8"/>
    <w:rsid w:val="00EE1FE6"/>
    <w:rsid w:val="00EE203A"/>
    <w:rsid w:val="00EE3A7E"/>
    <w:rsid w:val="00EE3C20"/>
    <w:rsid w:val="00EE4531"/>
    <w:rsid w:val="00EE4F29"/>
    <w:rsid w:val="00EE66F3"/>
    <w:rsid w:val="00EE7193"/>
    <w:rsid w:val="00EF083A"/>
    <w:rsid w:val="00EF09AD"/>
    <w:rsid w:val="00EF0A62"/>
    <w:rsid w:val="00EF1533"/>
    <w:rsid w:val="00EF15D4"/>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662"/>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70767"/>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6742"/>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6ABF"/>
    <w:rsid w:val="00FC70BB"/>
    <w:rsid w:val="00FC7460"/>
    <w:rsid w:val="00FC7E1F"/>
    <w:rsid w:val="00FD129F"/>
    <w:rsid w:val="00FD1A42"/>
    <w:rsid w:val="00FD1F5B"/>
    <w:rsid w:val="00FD2409"/>
    <w:rsid w:val="00FD262B"/>
    <w:rsid w:val="00FD3143"/>
    <w:rsid w:val="00FD4588"/>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表段落,목록 단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 w:type="character" w:customStyle="1" w:styleId="UnresolvedMention">
    <w:name w:val="Unresolved Mention"/>
    <w:basedOn w:val="DefaultParagraphFont"/>
    <w:uiPriority w:val="99"/>
    <w:semiHidden/>
    <w:unhideWhenUsed/>
    <w:rsid w:val="00456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2898503">
      <w:bodyDiv w:val="1"/>
      <w:marLeft w:val="0"/>
      <w:marRight w:val="0"/>
      <w:marTop w:val="0"/>
      <w:marBottom w:val="0"/>
      <w:divBdr>
        <w:top w:val="none" w:sz="0" w:space="0" w:color="auto"/>
        <w:left w:val="none" w:sz="0" w:space="0" w:color="auto"/>
        <w:bottom w:val="none" w:sz="0" w:space="0" w:color="auto"/>
        <w:right w:val="none" w:sz="0" w:space="0" w:color="auto"/>
      </w:divBdr>
      <w:divsChild>
        <w:div w:id="1567177999">
          <w:marLeft w:val="0"/>
          <w:marRight w:val="0"/>
          <w:marTop w:val="0"/>
          <w:marBottom w:val="60"/>
          <w:divBdr>
            <w:top w:val="none" w:sz="0" w:space="0" w:color="auto"/>
            <w:left w:val="none" w:sz="0" w:space="0" w:color="auto"/>
            <w:bottom w:val="none" w:sz="0" w:space="0" w:color="auto"/>
            <w:right w:val="none" w:sz="0" w:space="0" w:color="auto"/>
          </w:divBdr>
          <w:divsChild>
            <w:div w:id="619342981">
              <w:marLeft w:val="90"/>
              <w:marRight w:val="0"/>
              <w:marTop w:val="0"/>
              <w:marBottom w:val="0"/>
              <w:divBdr>
                <w:top w:val="single" w:sz="6" w:space="5" w:color="E8E8E8"/>
                <w:left w:val="single" w:sz="6" w:space="7" w:color="E8E8E8"/>
                <w:bottom w:val="single" w:sz="6" w:space="5" w:color="E8E8E8"/>
                <w:right w:val="single" w:sz="6" w:space="7" w:color="E8E8E8"/>
              </w:divBdr>
              <w:divsChild>
                <w:div w:id="611858257">
                  <w:marLeft w:val="0"/>
                  <w:marRight w:val="0"/>
                  <w:marTop w:val="0"/>
                  <w:marBottom w:val="0"/>
                  <w:divBdr>
                    <w:top w:val="none" w:sz="0" w:space="0" w:color="auto"/>
                    <w:left w:val="none" w:sz="0" w:space="0" w:color="auto"/>
                    <w:bottom w:val="none" w:sz="0" w:space="0" w:color="auto"/>
                    <w:right w:val="none" w:sz="0" w:space="0" w:color="auto"/>
                  </w:divBdr>
                  <w:divsChild>
                    <w:div w:id="8649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5064083">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0815255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Inbox/R1-2007477.zip"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CoverageTemplate/RedCapCoverageTemplate-Urban4GHz-v002.xlsx" TargetMode="External"/><Relationship Id="rId7" Type="http://schemas.openxmlformats.org/officeDocument/2006/relationships/settings" Target="settings.xml"/><Relationship Id="rId12" Type="http://schemas.openxmlformats.org/officeDocument/2006/relationships/hyperlink" Target="https://www.3gpp.org/ftp/tsg_ran/WG1_RL1/TSGR1_102-e/Docs/R1-2007477.zip" TargetMode="External"/><Relationship Id="rId17" Type="http://schemas.openxmlformats.org/officeDocument/2006/relationships/hyperlink" Target="https://www.3gpp.org/ftp/tsg_ran/WG1_RL1/TSGR1_102-e/Inbox/drafts/8.6/PostPhase1/RedCapPowerTemplate/RedCapPowerTemplate-v001.xls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overageTemplate/RedCapCoverageTemplate-Urban2.6GHz-v002.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24" Type="http://schemas.openxmlformats.org/officeDocument/2006/relationships/hyperlink" Target="https://www.3gpp.org/ftp/tsg_ran/WG1_RL1/TSGR1_102-e/Inbox/drafts/8.6/PostPhase1/RedCapCapacityTemplate/RedCapCapacityTemplate-v002.xlsx"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02-e/Inbox/drafts/8.6/PostPhase1/RedCapPowerTemplate/RedCapPowerTemplate-v000.xlsx" TargetMode="Externa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CoverageTemplate/RedCapCoverageTemplate-Rural700MHz-v002.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CostTemplate/RedCapCostTemplate-v002.xlsx" TargetMode="External"/><Relationship Id="rId22" Type="http://schemas.openxmlformats.org/officeDocument/2006/relationships/hyperlink" Target="https://www.3gpp.org/ftp/tsg_ran/WG1_RL1/TSGR1_102-e/Inbox/drafts/8.6/PostPhase1/RedCapCoverageTemplate/RedCapCoverageTemplate-Indoor28GHz-v00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EEC0B1-DE2B-4E94-A2F8-76CF5859B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5000</Words>
  <Characters>28505</Characters>
  <Application>Microsoft Office Word</Application>
  <DocSecurity>0</DocSecurity>
  <Lines>237</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2020-09-30T04:50:00Z</dcterms:created>
  <dcterms:modified xsi:type="dcterms:W3CDTF">2020-09-30T04:50:00Z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(3)cXqlcvws8M0/morCI18stGmdyK1z0pREdNnPpJ2bOq5tat4++cZqcJnQLeFJR3EnxZgSqolX
TuwIgoDdXQ43ZHZWgcPAessIZSeo6+lMcoyVIO4QHST1NGKg7iO4ct9ie+h2mrMxxc3dQl4r
FyHK5DQ/DCOCaT9bZf8Tn+xqMmXHhWPs+DUHtp1eMqjadiRAgVwEnTqiJA2NW7aj0l8irRn0
qcF1Dwbym9qkActEfs</vt:lpwstr>
  </property>
  <property fmtid="{D5CDD505-2E9C-101B-9397-08002B2CF9AE}" pid="5" name="_2015_ms_pID_7253431">
    <vt:lpwstr>GAC3wQTyK8+M0Gom1ZQ9obyQLHkh5yUsHYo8yANjwIbMLd15RvhEIk
qbwEPgcRY/atVk4fkb1oZNX+KHV0awZqjfQjZRbOJ+vhDPdADGDxwIzj9ztkjflLZNNQIDgY
UVSnRi6wSXkj7E9ytldpMZGvko/qDa9k4b07401DZj5bk35FFwkIXTy0SN6/F3nnn7+o8cV+
jmrgJg6p/rieHEr4/YIy5zjYPCRylVteYb7U</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1601244627</vt:lpwstr>
  </property>
</Properties>
</file>