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w:t>
      </w:r>
      <w:bookmarkStart w:id="2" w:name="_GoBack"/>
      <w:r w:rsidR="007860B8">
        <w:rPr>
          <w:b/>
          <w:bCs/>
          <w:i/>
          <w:iCs/>
        </w:rPr>
        <w:t xml:space="preserve">However, companies are welcome to provide </w:t>
      </w:r>
      <w:r w:rsidR="00E63F20">
        <w:rPr>
          <w:b/>
          <w:bCs/>
          <w:i/>
          <w:iCs/>
        </w:rPr>
        <w:t>feedback including such considerations as and when appropriate.</w:t>
      </w:r>
      <w:r w:rsidR="00C0426B" w:rsidRPr="000C584F">
        <w:rPr>
          <w:b/>
          <w:bCs/>
          <w:i/>
          <w:iCs/>
        </w:rPr>
        <w:t xml:space="preserve"> </w:t>
      </w:r>
      <w:bookmarkEnd w:id="2"/>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ListParagraph"/>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ListParagraph"/>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D0154D" w:rsidRDefault="00D0154D" w:rsidP="00D0154D">
      <w:pPr>
        <w:pStyle w:val="ListParagraph"/>
        <w:numPr>
          <w:ilvl w:val="2"/>
          <w:numId w:val="5"/>
        </w:numPr>
        <w:rPr>
          <w:i/>
          <w:iCs/>
        </w:rPr>
      </w:pPr>
      <w:r w:rsidRPr="00D0154D">
        <w:rPr>
          <w:b/>
          <w:bCs/>
          <w:i/>
          <w:iCs/>
        </w:rPr>
        <w:t>Alt</w:t>
      </w:r>
      <w:r w:rsidRPr="00D0154D">
        <w:rPr>
          <w:i/>
          <w:iCs/>
        </w:rPr>
        <w:t>.</w:t>
      </w:r>
      <w:r w:rsidRPr="00D0154D">
        <w:rPr>
          <w:b/>
          <w:bCs/>
          <w:i/>
          <w:iCs/>
        </w:rPr>
        <w:t xml:space="preserve"> E</w:t>
      </w:r>
      <w:r w:rsidRPr="00D0154D">
        <w:rPr>
          <w:i/>
          <w:iCs/>
        </w:rPr>
        <w:t>: Via RACH procedure</w:t>
      </w:r>
      <w:r>
        <w:rPr>
          <w:i/>
          <w:iCs/>
        </w:rPr>
        <w:t>.</w:t>
      </w:r>
    </w:p>
    <w:p w14:paraId="6370B226"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AB3EF6" w14:paraId="6BA34F46" w14:textId="77777777" w:rsidTr="005D2CA7">
        <w:tc>
          <w:tcPr>
            <w:tcW w:w="1480" w:type="dxa"/>
            <w:shd w:val="clear" w:color="auto" w:fill="D9D9D9" w:themeFill="background1" w:themeFillShade="D9"/>
          </w:tcPr>
          <w:p w14:paraId="42A0F925" w14:textId="77777777" w:rsidR="00AB3EF6" w:rsidRDefault="00AB3EF6" w:rsidP="005D2CA7">
            <w:pPr>
              <w:rPr>
                <w:b/>
                <w:bCs/>
              </w:rPr>
            </w:pPr>
            <w:r>
              <w:rPr>
                <w:b/>
                <w:bCs/>
              </w:rPr>
              <w:t>Company</w:t>
            </w:r>
          </w:p>
        </w:tc>
        <w:tc>
          <w:tcPr>
            <w:tcW w:w="1350" w:type="dxa"/>
            <w:shd w:val="clear" w:color="auto" w:fill="D9D9D9" w:themeFill="background1" w:themeFillShade="D9"/>
          </w:tcPr>
          <w:p w14:paraId="3482D4E3" w14:textId="77777777" w:rsidR="00AB3EF6" w:rsidRDefault="00AB3EF6" w:rsidP="005D2CA7">
            <w:pPr>
              <w:rPr>
                <w:b/>
                <w:bCs/>
              </w:rPr>
            </w:pPr>
            <w:r>
              <w:rPr>
                <w:b/>
                <w:bCs/>
              </w:rPr>
              <w:t>Agree (Y/N)</w:t>
            </w:r>
          </w:p>
        </w:tc>
        <w:tc>
          <w:tcPr>
            <w:tcW w:w="6801" w:type="dxa"/>
            <w:shd w:val="clear" w:color="auto" w:fill="D9D9D9" w:themeFill="background1" w:themeFillShade="D9"/>
          </w:tcPr>
          <w:p w14:paraId="1A2DD724" w14:textId="77777777" w:rsidR="00AB3EF6" w:rsidRDefault="00AB3EF6" w:rsidP="005D2CA7">
            <w:pPr>
              <w:rPr>
                <w:b/>
                <w:bCs/>
              </w:rPr>
            </w:pPr>
            <w:r>
              <w:rPr>
                <w:b/>
                <w:bCs/>
              </w:rPr>
              <w:t>Comments</w:t>
            </w:r>
          </w:p>
        </w:tc>
      </w:tr>
      <w:tr w:rsidR="00AB3EF6" w14:paraId="4789AE1A" w14:textId="77777777" w:rsidTr="005D2CA7">
        <w:tc>
          <w:tcPr>
            <w:tcW w:w="1480" w:type="dxa"/>
            <w:shd w:val="clear" w:color="auto" w:fill="auto"/>
          </w:tcPr>
          <w:p w14:paraId="73253068" w14:textId="77777777" w:rsidR="00AB3EF6" w:rsidRDefault="00AB3EF6" w:rsidP="005D2CA7">
            <w:pPr>
              <w:rPr>
                <w:lang w:eastAsia="ko-KR"/>
              </w:rPr>
            </w:pPr>
          </w:p>
        </w:tc>
        <w:tc>
          <w:tcPr>
            <w:tcW w:w="1350" w:type="dxa"/>
            <w:shd w:val="clear" w:color="auto" w:fill="auto"/>
          </w:tcPr>
          <w:p w14:paraId="74BEE8E9" w14:textId="77777777" w:rsidR="00AB3EF6" w:rsidRDefault="00AB3EF6" w:rsidP="005D2CA7">
            <w:pPr>
              <w:rPr>
                <w:lang w:eastAsia="ko-KR"/>
              </w:rPr>
            </w:pPr>
          </w:p>
        </w:tc>
        <w:tc>
          <w:tcPr>
            <w:tcW w:w="6801" w:type="dxa"/>
            <w:shd w:val="clear" w:color="auto" w:fill="auto"/>
          </w:tcPr>
          <w:p w14:paraId="5AFA1879" w14:textId="77777777" w:rsidR="00AB3EF6" w:rsidRDefault="00AB3EF6" w:rsidP="005D2CA7"/>
        </w:tc>
      </w:tr>
      <w:tr w:rsidR="00AB3EF6" w14:paraId="76D73C33" w14:textId="77777777" w:rsidTr="005D2CA7">
        <w:tc>
          <w:tcPr>
            <w:tcW w:w="1480" w:type="dxa"/>
            <w:shd w:val="clear" w:color="auto" w:fill="auto"/>
          </w:tcPr>
          <w:p w14:paraId="07E8F49D" w14:textId="77777777" w:rsidR="00AB3EF6" w:rsidRDefault="00AB3EF6" w:rsidP="005D2CA7"/>
        </w:tc>
        <w:tc>
          <w:tcPr>
            <w:tcW w:w="1350" w:type="dxa"/>
            <w:shd w:val="clear" w:color="auto" w:fill="auto"/>
          </w:tcPr>
          <w:p w14:paraId="0EFCE45C" w14:textId="77777777" w:rsidR="00AB3EF6" w:rsidRDefault="00AB3EF6" w:rsidP="005D2CA7"/>
        </w:tc>
        <w:tc>
          <w:tcPr>
            <w:tcW w:w="6801" w:type="dxa"/>
            <w:shd w:val="clear" w:color="auto" w:fill="auto"/>
          </w:tcPr>
          <w:p w14:paraId="16D14F2D" w14:textId="77777777" w:rsidR="00AB3EF6" w:rsidRDefault="00AB3EF6" w:rsidP="005D2CA7"/>
        </w:tc>
      </w:tr>
      <w:tr w:rsidR="00AB3EF6" w14:paraId="723D9304" w14:textId="77777777" w:rsidTr="005D2CA7">
        <w:tc>
          <w:tcPr>
            <w:tcW w:w="1480" w:type="dxa"/>
            <w:shd w:val="clear" w:color="auto" w:fill="auto"/>
          </w:tcPr>
          <w:p w14:paraId="3A2D5BFA" w14:textId="77777777" w:rsidR="00AB3EF6" w:rsidRDefault="00AB3EF6" w:rsidP="005D2CA7"/>
        </w:tc>
        <w:tc>
          <w:tcPr>
            <w:tcW w:w="1350" w:type="dxa"/>
            <w:shd w:val="clear" w:color="auto" w:fill="auto"/>
          </w:tcPr>
          <w:p w14:paraId="792E4B93" w14:textId="77777777" w:rsidR="00AB3EF6" w:rsidRDefault="00AB3EF6" w:rsidP="005D2CA7"/>
        </w:tc>
        <w:tc>
          <w:tcPr>
            <w:tcW w:w="6801" w:type="dxa"/>
            <w:shd w:val="clear" w:color="auto" w:fill="auto"/>
          </w:tcPr>
          <w:p w14:paraId="00164ABB" w14:textId="77777777" w:rsidR="00AB3EF6" w:rsidRDefault="00AB3EF6" w:rsidP="005D2CA7"/>
        </w:tc>
      </w:tr>
      <w:tr w:rsidR="00AB3EF6" w14:paraId="040550FB" w14:textId="77777777" w:rsidTr="005D2CA7">
        <w:tc>
          <w:tcPr>
            <w:tcW w:w="1480" w:type="dxa"/>
            <w:shd w:val="clear" w:color="auto" w:fill="auto"/>
          </w:tcPr>
          <w:p w14:paraId="3F3DEB4D" w14:textId="77777777" w:rsidR="00AB3EF6" w:rsidRDefault="00AB3EF6" w:rsidP="005D2CA7"/>
        </w:tc>
        <w:tc>
          <w:tcPr>
            <w:tcW w:w="1350" w:type="dxa"/>
            <w:shd w:val="clear" w:color="auto" w:fill="auto"/>
          </w:tcPr>
          <w:p w14:paraId="4578D159" w14:textId="77777777" w:rsidR="00AB3EF6" w:rsidRDefault="00AB3EF6" w:rsidP="005D2CA7"/>
        </w:tc>
        <w:tc>
          <w:tcPr>
            <w:tcW w:w="6801" w:type="dxa"/>
            <w:shd w:val="clear" w:color="auto" w:fill="auto"/>
          </w:tcPr>
          <w:p w14:paraId="47041E25" w14:textId="77777777" w:rsidR="00AB3EF6" w:rsidRDefault="00AB3EF6" w:rsidP="005D2CA7"/>
        </w:tc>
      </w:tr>
      <w:tr w:rsidR="00AB3EF6" w14:paraId="4EB0AC86" w14:textId="77777777" w:rsidTr="005D2CA7">
        <w:tc>
          <w:tcPr>
            <w:tcW w:w="1480" w:type="dxa"/>
            <w:shd w:val="clear" w:color="auto" w:fill="auto"/>
          </w:tcPr>
          <w:p w14:paraId="5B0050FF" w14:textId="77777777" w:rsidR="00AB3EF6" w:rsidRDefault="00AB3EF6" w:rsidP="005D2CA7"/>
        </w:tc>
        <w:tc>
          <w:tcPr>
            <w:tcW w:w="1350" w:type="dxa"/>
            <w:shd w:val="clear" w:color="auto" w:fill="auto"/>
          </w:tcPr>
          <w:p w14:paraId="36304019" w14:textId="77777777" w:rsidR="00AB3EF6" w:rsidRDefault="00AB3EF6" w:rsidP="005D2CA7"/>
        </w:tc>
        <w:tc>
          <w:tcPr>
            <w:tcW w:w="6801" w:type="dxa"/>
            <w:shd w:val="clear" w:color="auto" w:fill="auto"/>
          </w:tcPr>
          <w:p w14:paraId="7417C36A" w14:textId="77777777" w:rsidR="00AB3EF6" w:rsidRDefault="00AB3EF6" w:rsidP="005D2CA7"/>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58B9FF37"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w:t>
      </w:r>
      <w:proofErr w:type="gramStart"/>
      <w:r>
        <w:rPr>
          <w:i/>
          <w:iCs/>
        </w:rPr>
        <w:t>an</w:t>
      </w:r>
      <w:proofErr w:type="gramEnd"/>
      <w:r>
        <w:rPr>
          <w:i/>
          <w:iCs/>
        </w:rPr>
        <w:t xml:space="preserve">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5D2CA7">
        <w:tc>
          <w:tcPr>
            <w:tcW w:w="1480" w:type="dxa"/>
            <w:shd w:val="clear" w:color="auto" w:fill="D9D9D9" w:themeFill="background1" w:themeFillShade="D9"/>
          </w:tcPr>
          <w:p w14:paraId="0EA3577A" w14:textId="77777777" w:rsidR="0076289E" w:rsidRDefault="0076289E" w:rsidP="005D2CA7">
            <w:pPr>
              <w:rPr>
                <w:b/>
                <w:bCs/>
              </w:rPr>
            </w:pPr>
            <w:r>
              <w:rPr>
                <w:b/>
                <w:bCs/>
              </w:rPr>
              <w:t>Company</w:t>
            </w:r>
          </w:p>
        </w:tc>
        <w:tc>
          <w:tcPr>
            <w:tcW w:w="1350" w:type="dxa"/>
            <w:shd w:val="clear" w:color="auto" w:fill="D9D9D9" w:themeFill="background1" w:themeFillShade="D9"/>
          </w:tcPr>
          <w:p w14:paraId="2B5F8E8E" w14:textId="77777777" w:rsidR="0076289E" w:rsidRDefault="0076289E" w:rsidP="005D2CA7">
            <w:pPr>
              <w:rPr>
                <w:b/>
                <w:bCs/>
              </w:rPr>
            </w:pPr>
            <w:r>
              <w:rPr>
                <w:b/>
                <w:bCs/>
              </w:rPr>
              <w:t>Agree (Y/N)</w:t>
            </w:r>
          </w:p>
        </w:tc>
        <w:tc>
          <w:tcPr>
            <w:tcW w:w="6801" w:type="dxa"/>
            <w:shd w:val="clear" w:color="auto" w:fill="D9D9D9" w:themeFill="background1" w:themeFillShade="D9"/>
          </w:tcPr>
          <w:p w14:paraId="0BECB003" w14:textId="77777777" w:rsidR="0076289E" w:rsidRDefault="0076289E" w:rsidP="005D2CA7">
            <w:pPr>
              <w:rPr>
                <w:b/>
                <w:bCs/>
              </w:rPr>
            </w:pPr>
            <w:r>
              <w:rPr>
                <w:b/>
                <w:bCs/>
              </w:rPr>
              <w:t>Comments</w:t>
            </w:r>
          </w:p>
        </w:tc>
      </w:tr>
      <w:tr w:rsidR="0076289E" w14:paraId="17BFF12E" w14:textId="77777777" w:rsidTr="005D2CA7">
        <w:tc>
          <w:tcPr>
            <w:tcW w:w="1480" w:type="dxa"/>
            <w:shd w:val="clear" w:color="auto" w:fill="auto"/>
          </w:tcPr>
          <w:p w14:paraId="4C341748" w14:textId="77777777" w:rsidR="0076289E" w:rsidRDefault="0076289E" w:rsidP="005D2CA7">
            <w:pPr>
              <w:rPr>
                <w:lang w:eastAsia="ko-KR"/>
              </w:rPr>
            </w:pPr>
          </w:p>
        </w:tc>
        <w:tc>
          <w:tcPr>
            <w:tcW w:w="1350" w:type="dxa"/>
            <w:shd w:val="clear" w:color="auto" w:fill="auto"/>
          </w:tcPr>
          <w:p w14:paraId="056DF4A9" w14:textId="77777777" w:rsidR="0076289E" w:rsidRDefault="0076289E" w:rsidP="005D2CA7">
            <w:pPr>
              <w:rPr>
                <w:lang w:eastAsia="ko-KR"/>
              </w:rPr>
            </w:pPr>
          </w:p>
        </w:tc>
        <w:tc>
          <w:tcPr>
            <w:tcW w:w="6801" w:type="dxa"/>
            <w:shd w:val="clear" w:color="auto" w:fill="auto"/>
          </w:tcPr>
          <w:p w14:paraId="664FA027" w14:textId="77777777" w:rsidR="0076289E" w:rsidRDefault="0076289E" w:rsidP="005D2CA7"/>
        </w:tc>
      </w:tr>
      <w:tr w:rsidR="0076289E" w14:paraId="680B89D5" w14:textId="77777777" w:rsidTr="005D2CA7">
        <w:tc>
          <w:tcPr>
            <w:tcW w:w="1480" w:type="dxa"/>
            <w:shd w:val="clear" w:color="auto" w:fill="auto"/>
          </w:tcPr>
          <w:p w14:paraId="39943299" w14:textId="77777777" w:rsidR="0076289E" w:rsidRDefault="0076289E" w:rsidP="005D2CA7"/>
        </w:tc>
        <w:tc>
          <w:tcPr>
            <w:tcW w:w="1350" w:type="dxa"/>
            <w:shd w:val="clear" w:color="auto" w:fill="auto"/>
          </w:tcPr>
          <w:p w14:paraId="0565FCF7" w14:textId="77777777" w:rsidR="0076289E" w:rsidRDefault="0076289E" w:rsidP="005D2CA7"/>
        </w:tc>
        <w:tc>
          <w:tcPr>
            <w:tcW w:w="6801" w:type="dxa"/>
            <w:shd w:val="clear" w:color="auto" w:fill="auto"/>
          </w:tcPr>
          <w:p w14:paraId="34A639FE" w14:textId="77777777" w:rsidR="0076289E" w:rsidRDefault="0076289E" w:rsidP="005D2CA7"/>
        </w:tc>
      </w:tr>
      <w:tr w:rsidR="0076289E" w14:paraId="0E86F395" w14:textId="77777777" w:rsidTr="005D2CA7">
        <w:tc>
          <w:tcPr>
            <w:tcW w:w="1480" w:type="dxa"/>
            <w:shd w:val="clear" w:color="auto" w:fill="auto"/>
          </w:tcPr>
          <w:p w14:paraId="1DB391F0" w14:textId="77777777" w:rsidR="0076289E" w:rsidRDefault="0076289E" w:rsidP="005D2CA7"/>
        </w:tc>
        <w:tc>
          <w:tcPr>
            <w:tcW w:w="1350" w:type="dxa"/>
            <w:shd w:val="clear" w:color="auto" w:fill="auto"/>
          </w:tcPr>
          <w:p w14:paraId="0CF26AB3" w14:textId="77777777" w:rsidR="0076289E" w:rsidRDefault="0076289E" w:rsidP="005D2CA7"/>
        </w:tc>
        <w:tc>
          <w:tcPr>
            <w:tcW w:w="6801" w:type="dxa"/>
            <w:shd w:val="clear" w:color="auto" w:fill="auto"/>
          </w:tcPr>
          <w:p w14:paraId="4AF40595" w14:textId="77777777" w:rsidR="0076289E" w:rsidRDefault="0076289E" w:rsidP="005D2CA7"/>
        </w:tc>
      </w:tr>
      <w:tr w:rsidR="0076289E" w14:paraId="78A05F14" w14:textId="77777777" w:rsidTr="005D2CA7">
        <w:tc>
          <w:tcPr>
            <w:tcW w:w="1480" w:type="dxa"/>
            <w:shd w:val="clear" w:color="auto" w:fill="auto"/>
          </w:tcPr>
          <w:p w14:paraId="6A3B556C" w14:textId="77777777" w:rsidR="0076289E" w:rsidRDefault="0076289E" w:rsidP="005D2CA7"/>
        </w:tc>
        <w:tc>
          <w:tcPr>
            <w:tcW w:w="1350" w:type="dxa"/>
            <w:shd w:val="clear" w:color="auto" w:fill="auto"/>
          </w:tcPr>
          <w:p w14:paraId="0148F637" w14:textId="77777777" w:rsidR="0076289E" w:rsidRDefault="0076289E" w:rsidP="005D2CA7"/>
        </w:tc>
        <w:tc>
          <w:tcPr>
            <w:tcW w:w="6801" w:type="dxa"/>
            <w:shd w:val="clear" w:color="auto" w:fill="auto"/>
          </w:tcPr>
          <w:p w14:paraId="671A579F" w14:textId="77777777" w:rsidR="0076289E" w:rsidRDefault="0076289E" w:rsidP="005D2CA7"/>
        </w:tc>
      </w:tr>
      <w:tr w:rsidR="0076289E" w14:paraId="1404460A" w14:textId="77777777" w:rsidTr="005D2CA7">
        <w:tc>
          <w:tcPr>
            <w:tcW w:w="1480" w:type="dxa"/>
            <w:shd w:val="clear" w:color="auto" w:fill="auto"/>
          </w:tcPr>
          <w:p w14:paraId="3B6C7249" w14:textId="77777777" w:rsidR="0076289E" w:rsidRDefault="0076289E" w:rsidP="005D2CA7"/>
        </w:tc>
        <w:tc>
          <w:tcPr>
            <w:tcW w:w="1350" w:type="dxa"/>
            <w:shd w:val="clear" w:color="auto" w:fill="auto"/>
          </w:tcPr>
          <w:p w14:paraId="4A692346" w14:textId="77777777" w:rsidR="0076289E" w:rsidRDefault="0076289E" w:rsidP="005D2CA7"/>
        </w:tc>
        <w:tc>
          <w:tcPr>
            <w:tcW w:w="6801" w:type="dxa"/>
            <w:shd w:val="clear" w:color="auto" w:fill="auto"/>
          </w:tcPr>
          <w:p w14:paraId="3E7B1C95" w14:textId="77777777" w:rsidR="0076289E" w:rsidRDefault="0076289E" w:rsidP="005D2CA7"/>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5D2CA7">
        <w:tc>
          <w:tcPr>
            <w:tcW w:w="1480" w:type="dxa"/>
            <w:shd w:val="clear" w:color="auto" w:fill="D9D9D9" w:themeFill="background1" w:themeFillShade="D9"/>
          </w:tcPr>
          <w:p w14:paraId="161C9FA8" w14:textId="77777777" w:rsidR="00F95299" w:rsidRDefault="00F95299" w:rsidP="005D2CA7">
            <w:pPr>
              <w:rPr>
                <w:b/>
                <w:bCs/>
              </w:rPr>
            </w:pPr>
            <w:r>
              <w:rPr>
                <w:b/>
                <w:bCs/>
              </w:rPr>
              <w:t>Company</w:t>
            </w:r>
          </w:p>
        </w:tc>
        <w:tc>
          <w:tcPr>
            <w:tcW w:w="1350" w:type="dxa"/>
            <w:shd w:val="clear" w:color="auto" w:fill="D9D9D9" w:themeFill="background1" w:themeFillShade="D9"/>
          </w:tcPr>
          <w:p w14:paraId="6325B351" w14:textId="77777777" w:rsidR="00F95299" w:rsidRDefault="00F95299" w:rsidP="005D2CA7">
            <w:pPr>
              <w:rPr>
                <w:b/>
                <w:bCs/>
              </w:rPr>
            </w:pPr>
            <w:r>
              <w:rPr>
                <w:b/>
                <w:bCs/>
              </w:rPr>
              <w:t>Agree (Y/N)</w:t>
            </w:r>
          </w:p>
        </w:tc>
        <w:tc>
          <w:tcPr>
            <w:tcW w:w="6801" w:type="dxa"/>
            <w:shd w:val="clear" w:color="auto" w:fill="D9D9D9" w:themeFill="background1" w:themeFillShade="D9"/>
          </w:tcPr>
          <w:p w14:paraId="385D089D" w14:textId="77777777" w:rsidR="00F95299" w:rsidRDefault="00F95299" w:rsidP="005D2CA7">
            <w:pPr>
              <w:rPr>
                <w:b/>
                <w:bCs/>
              </w:rPr>
            </w:pPr>
            <w:r>
              <w:rPr>
                <w:b/>
                <w:bCs/>
              </w:rPr>
              <w:t>Comments</w:t>
            </w:r>
          </w:p>
        </w:tc>
      </w:tr>
      <w:tr w:rsidR="00F95299" w14:paraId="6BFE0087" w14:textId="77777777" w:rsidTr="005D2CA7">
        <w:tc>
          <w:tcPr>
            <w:tcW w:w="1480" w:type="dxa"/>
            <w:shd w:val="clear" w:color="auto" w:fill="auto"/>
          </w:tcPr>
          <w:p w14:paraId="41B317EC" w14:textId="77777777" w:rsidR="00F95299" w:rsidRDefault="00F95299" w:rsidP="005D2CA7">
            <w:pPr>
              <w:rPr>
                <w:lang w:eastAsia="ko-KR"/>
              </w:rPr>
            </w:pPr>
          </w:p>
        </w:tc>
        <w:tc>
          <w:tcPr>
            <w:tcW w:w="1350" w:type="dxa"/>
            <w:shd w:val="clear" w:color="auto" w:fill="auto"/>
          </w:tcPr>
          <w:p w14:paraId="0EA99CB1" w14:textId="77777777" w:rsidR="00F95299" w:rsidRDefault="00F95299" w:rsidP="005D2CA7">
            <w:pPr>
              <w:rPr>
                <w:lang w:eastAsia="ko-KR"/>
              </w:rPr>
            </w:pPr>
          </w:p>
        </w:tc>
        <w:tc>
          <w:tcPr>
            <w:tcW w:w="6801" w:type="dxa"/>
            <w:shd w:val="clear" w:color="auto" w:fill="auto"/>
          </w:tcPr>
          <w:p w14:paraId="1BECF19E" w14:textId="77777777" w:rsidR="00F95299" w:rsidRDefault="00F95299" w:rsidP="005D2CA7"/>
        </w:tc>
      </w:tr>
      <w:tr w:rsidR="00F95299" w14:paraId="02108759" w14:textId="77777777" w:rsidTr="005D2CA7">
        <w:tc>
          <w:tcPr>
            <w:tcW w:w="1480" w:type="dxa"/>
            <w:shd w:val="clear" w:color="auto" w:fill="auto"/>
          </w:tcPr>
          <w:p w14:paraId="0A673BD9" w14:textId="77777777" w:rsidR="00F95299" w:rsidRDefault="00F95299" w:rsidP="005D2CA7"/>
        </w:tc>
        <w:tc>
          <w:tcPr>
            <w:tcW w:w="1350" w:type="dxa"/>
            <w:shd w:val="clear" w:color="auto" w:fill="auto"/>
          </w:tcPr>
          <w:p w14:paraId="356FB09A" w14:textId="77777777" w:rsidR="00F95299" w:rsidRDefault="00F95299" w:rsidP="005D2CA7"/>
        </w:tc>
        <w:tc>
          <w:tcPr>
            <w:tcW w:w="6801" w:type="dxa"/>
            <w:shd w:val="clear" w:color="auto" w:fill="auto"/>
          </w:tcPr>
          <w:p w14:paraId="18D6C356" w14:textId="77777777" w:rsidR="00F95299" w:rsidRDefault="00F95299" w:rsidP="005D2CA7"/>
        </w:tc>
      </w:tr>
      <w:tr w:rsidR="00F95299" w14:paraId="1D351A6A" w14:textId="77777777" w:rsidTr="005D2CA7">
        <w:tc>
          <w:tcPr>
            <w:tcW w:w="1480" w:type="dxa"/>
            <w:shd w:val="clear" w:color="auto" w:fill="auto"/>
          </w:tcPr>
          <w:p w14:paraId="4F251149" w14:textId="77777777" w:rsidR="00F95299" w:rsidRDefault="00F95299" w:rsidP="005D2CA7"/>
        </w:tc>
        <w:tc>
          <w:tcPr>
            <w:tcW w:w="1350" w:type="dxa"/>
            <w:shd w:val="clear" w:color="auto" w:fill="auto"/>
          </w:tcPr>
          <w:p w14:paraId="5C1500F3" w14:textId="77777777" w:rsidR="00F95299" w:rsidRDefault="00F95299" w:rsidP="005D2CA7"/>
        </w:tc>
        <w:tc>
          <w:tcPr>
            <w:tcW w:w="6801" w:type="dxa"/>
            <w:shd w:val="clear" w:color="auto" w:fill="auto"/>
          </w:tcPr>
          <w:p w14:paraId="2CD25C8B" w14:textId="77777777" w:rsidR="00F95299" w:rsidRDefault="00F95299" w:rsidP="005D2CA7"/>
        </w:tc>
      </w:tr>
      <w:tr w:rsidR="00F95299" w14:paraId="62A84047" w14:textId="77777777" w:rsidTr="005D2CA7">
        <w:tc>
          <w:tcPr>
            <w:tcW w:w="1480" w:type="dxa"/>
            <w:shd w:val="clear" w:color="auto" w:fill="auto"/>
          </w:tcPr>
          <w:p w14:paraId="194306CA" w14:textId="77777777" w:rsidR="00F95299" w:rsidRDefault="00F95299" w:rsidP="005D2CA7"/>
        </w:tc>
        <w:tc>
          <w:tcPr>
            <w:tcW w:w="1350" w:type="dxa"/>
            <w:shd w:val="clear" w:color="auto" w:fill="auto"/>
          </w:tcPr>
          <w:p w14:paraId="3B68224A" w14:textId="77777777" w:rsidR="00F95299" w:rsidRDefault="00F95299" w:rsidP="005D2CA7"/>
        </w:tc>
        <w:tc>
          <w:tcPr>
            <w:tcW w:w="6801" w:type="dxa"/>
            <w:shd w:val="clear" w:color="auto" w:fill="auto"/>
          </w:tcPr>
          <w:p w14:paraId="24F83F7C" w14:textId="77777777" w:rsidR="00F95299" w:rsidRDefault="00F95299" w:rsidP="005D2CA7"/>
        </w:tc>
      </w:tr>
      <w:tr w:rsidR="00F95299" w14:paraId="44F18A0D" w14:textId="77777777" w:rsidTr="005D2CA7">
        <w:tc>
          <w:tcPr>
            <w:tcW w:w="1480" w:type="dxa"/>
            <w:shd w:val="clear" w:color="auto" w:fill="auto"/>
          </w:tcPr>
          <w:p w14:paraId="6BB6C187" w14:textId="77777777" w:rsidR="00F95299" w:rsidRDefault="00F95299" w:rsidP="005D2CA7"/>
        </w:tc>
        <w:tc>
          <w:tcPr>
            <w:tcW w:w="1350" w:type="dxa"/>
            <w:shd w:val="clear" w:color="auto" w:fill="auto"/>
          </w:tcPr>
          <w:p w14:paraId="5D2B3ACC" w14:textId="77777777" w:rsidR="00F95299" w:rsidRDefault="00F95299" w:rsidP="005D2CA7"/>
        </w:tc>
        <w:tc>
          <w:tcPr>
            <w:tcW w:w="6801" w:type="dxa"/>
            <w:shd w:val="clear" w:color="auto" w:fill="auto"/>
          </w:tcPr>
          <w:p w14:paraId="5E7B8D88" w14:textId="77777777" w:rsidR="00F95299" w:rsidRDefault="00F95299" w:rsidP="005D2CA7"/>
        </w:tc>
      </w:tr>
    </w:tbl>
    <w:p w14:paraId="63D8B7A5" w14:textId="77777777"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5D2CA7">
        <w:tc>
          <w:tcPr>
            <w:tcW w:w="1480" w:type="dxa"/>
            <w:shd w:val="clear" w:color="auto" w:fill="D9D9D9" w:themeFill="background1" w:themeFillShade="D9"/>
          </w:tcPr>
          <w:p w14:paraId="0149E0EE" w14:textId="77777777" w:rsidR="00F95299" w:rsidRDefault="00F95299" w:rsidP="005D2CA7">
            <w:pPr>
              <w:rPr>
                <w:b/>
                <w:bCs/>
              </w:rPr>
            </w:pPr>
            <w:r>
              <w:rPr>
                <w:b/>
                <w:bCs/>
              </w:rPr>
              <w:t>Company</w:t>
            </w:r>
          </w:p>
        </w:tc>
        <w:tc>
          <w:tcPr>
            <w:tcW w:w="1350" w:type="dxa"/>
            <w:shd w:val="clear" w:color="auto" w:fill="D9D9D9" w:themeFill="background1" w:themeFillShade="D9"/>
          </w:tcPr>
          <w:p w14:paraId="0A46B386" w14:textId="77777777" w:rsidR="00F95299" w:rsidRDefault="00F95299" w:rsidP="005D2CA7">
            <w:pPr>
              <w:rPr>
                <w:b/>
                <w:bCs/>
              </w:rPr>
            </w:pPr>
            <w:r>
              <w:rPr>
                <w:b/>
                <w:bCs/>
              </w:rPr>
              <w:t>Agree (Y/N)</w:t>
            </w:r>
          </w:p>
        </w:tc>
        <w:tc>
          <w:tcPr>
            <w:tcW w:w="6801" w:type="dxa"/>
            <w:shd w:val="clear" w:color="auto" w:fill="D9D9D9" w:themeFill="background1" w:themeFillShade="D9"/>
          </w:tcPr>
          <w:p w14:paraId="5561E3D6" w14:textId="77777777" w:rsidR="00F95299" w:rsidRDefault="00F95299" w:rsidP="005D2CA7">
            <w:pPr>
              <w:rPr>
                <w:b/>
                <w:bCs/>
              </w:rPr>
            </w:pPr>
            <w:r>
              <w:rPr>
                <w:b/>
                <w:bCs/>
              </w:rPr>
              <w:t>Comments</w:t>
            </w:r>
          </w:p>
        </w:tc>
      </w:tr>
      <w:tr w:rsidR="00F95299" w14:paraId="78453A40" w14:textId="77777777" w:rsidTr="005D2CA7">
        <w:tc>
          <w:tcPr>
            <w:tcW w:w="1480" w:type="dxa"/>
            <w:shd w:val="clear" w:color="auto" w:fill="auto"/>
          </w:tcPr>
          <w:p w14:paraId="520C2137" w14:textId="77777777" w:rsidR="00F95299" w:rsidRDefault="00F95299" w:rsidP="005D2CA7">
            <w:pPr>
              <w:rPr>
                <w:lang w:eastAsia="ko-KR"/>
              </w:rPr>
            </w:pPr>
          </w:p>
        </w:tc>
        <w:tc>
          <w:tcPr>
            <w:tcW w:w="1350" w:type="dxa"/>
            <w:shd w:val="clear" w:color="auto" w:fill="auto"/>
          </w:tcPr>
          <w:p w14:paraId="36630DA1" w14:textId="77777777" w:rsidR="00F95299" w:rsidRDefault="00F95299" w:rsidP="005D2CA7">
            <w:pPr>
              <w:rPr>
                <w:lang w:eastAsia="ko-KR"/>
              </w:rPr>
            </w:pPr>
          </w:p>
        </w:tc>
        <w:tc>
          <w:tcPr>
            <w:tcW w:w="6801" w:type="dxa"/>
            <w:shd w:val="clear" w:color="auto" w:fill="auto"/>
          </w:tcPr>
          <w:p w14:paraId="110E9A61" w14:textId="77777777" w:rsidR="00F95299" w:rsidRDefault="00F95299" w:rsidP="005D2CA7"/>
        </w:tc>
      </w:tr>
      <w:tr w:rsidR="00F95299" w14:paraId="7DBCA1EC" w14:textId="77777777" w:rsidTr="005D2CA7">
        <w:tc>
          <w:tcPr>
            <w:tcW w:w="1480" w:type="dxa"/>
            <w:shd w:val="clear" w:color="auto" w:fill="auto"/>
          </w:tcPr>
          <w:p w14:paraId="12D8A03D" w14:textId="77777777" w:rsidR="00F95299" w:rsidRDefault="00F95299" w:rsidP="005D2CA7"/>
        </w:tc>
        <w:tc>
          <w:tcPr>
            <w:tcW w:w="1350" w:type="dxa"/>
            <w:shd w:val="clear" w:color="auto" w:fill="auto"/>
          </w:tcPr>
          <w:p w14:paraId="1B8808B9" w14:textId="77777777" w:rsidR="00F95299" w:rsidRDefault="00F95299" w:rsidP="005D2CA7"/>
        </w:tc>
        <w:tc>
          <w:tcPr>
            <w:tcW w:w="6801" w:type="dxa"/>
            <w:shd w:val="clear" w:color="auto" w:fill="auto"/>
          </w:tcPr>
          <w:p w14:paraId="4CC35C66" w14:textId="77777777" w:rsidR="00F95299" w:rsidRDefault="00F95299" w:rsidP="005D2CA7"/>
        </w:tc>
      </w:tr>
      <w:tr w:rsidR="00F95299" w14:paraId="7F78CA60" w14:textId="77777777" w:rsidTr="005D2CA7">
        <w:tc>
          <w:tcPr>
            <w:tcW w:w="1480" w:type="dxa"/>
            <w:shd w:val="clear" w:color="auto" w:fill="auto"/>
          </w:tcPr>
          <w:p w14:paraId="489CD804" w14:textId="77777777" w:rsidR="00F95299" w:rsidRDefault="00F95299" w:rsidP="005D2CA7"/>
        </w:tc>
        <w:tc>
          <w:tcPr>
            <w:tcW w:w="1350" w:type="dxa"/>
            <w:shd w:val="clear" w:color="auto" w:fill="auto"/>
          </w:tcPr>
          <w:p w14:paraId="4417DFE7" w14:textId="77777777" w:rsidR="00F95299" w:rsidRDefault="00F95299" w:rsidP="005D2CA7"/>
        </w:tc>
        <w:tc>
          <w:tcPr>
            <w:tcW w:w="6801" w:type="dxa"/>
            <w:shd w:val="clear" w:color="auto" w:fill="auto"/>
          </w:tcPr>
          <w:p w14:paraId="62F58193" w14:textId="77777777" w:rsidR="00F95299" w:rsidRDefault="00F95299" w:rsidP="005D2CA7"/>
        </w:tc>
      </w:tr>
      <w:tr w:rsidR="00F95299" w14:paraId="2EFADB3E" w14:textId="77777777" w:rsidTr="005D2CA7">
        <w:tc>
          <w:tcPr>
            <w:tcW w:w="1480" w:type="dxa"/>
            <w:shd w:val="clear" w:color="auto" w:fill="auto"/>
          </w:tcPr>
          <w:p w14:paraId="57F8CD3E" w14:textId="77777777" w:rsidR="00F95299" w:rsidRDefault="00F95299" w:rsidP="005D2CA7"/>
        </w:tc>
        <w:tc>
          <w:tcPr>
            <w:tcW w:w="1350" w:type="dxa"/>
            <w:shd w:val="clear" w:color="auto" w:fill="auto"/>
          </w:tcPr>
          <w:p w14:paraId="7EE6B3D6" w14:textId="77777777" w:rsidR="00F95299" w:rsidRDefault="00F95299" w:rsidP="005D2CA7"/>
        </w:tc>
        <w:tc>
          <w:tcPr>
            <w:tcW w:w="6801" w:type="dxa"/>
            <w:shd w:val="clear" w:color="auto" w:fill="auto"/>
          </w:tcPr>
          <w:p w14:paraId="738E23A8" w14:textId="77777777" w:rsidR="00F95299" w:rsidRDefault="00F95299" w:rsidP="005D2CA7"/>
        </w:tc>
      </w:tr>
      <w:tr w:rsidR="00F95299" w14:paraId="1A64239C" w14:textId="77777777" w:rsidTr="005D2CA7">
        <w:tc>
          <w:tcPr>
            <w:tcW w:w="1480" w:type="dxa"/>
            <w:shd w:val="clear" w:color="auto" w:fill="auto"/>
          </w:tcPr>
          <w:p w14:paraId="68B9B310" w14:textId="77777777" w:rsidR="00F95299" w:rsidRDefault="00F95299" w:rsidP="005D2CA7"/>
        </w:tc>
        <w:tc>
          <w:tcPr>
            <w:tcW w:w="1350" w:type="dxa"/>
            <w:shd w:val="clear" w:color="auto" w:fill="auto"/>
          </w:tcPr>
          <w:p w14:paraId="371748FA" w14:textId="77777777" w:rsidR="00F95299" w:rsidRDefault="00F95299" w:rsidP="005D2CA7"/>
        </w:tc>
        <w:tc>
          <w:tcPr>
            <w:tcW w:w="6801" w:type="dxa"/>
            <w:shd w:val="clear" w:color="auto" w:fill="auto"/>
          </w:tcPr>
          <w:p w14:paraId="13576255" w14:textId="77777777" w:rsidR="00F95299" w:rsidRDefault="00F95299" w:rsidP="005D2CA7"/>
        </w:tc>
      </w:tr>
    </w:tbl>
    <w:p w14:paraId="1558096C" w14:textId="77777777" w:rsidR="00AB3EF6" w:rsidRPr="000272BA" w:rsidRDefault="00AB3EF6" w:rsidP="001E4D8E"/>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Identification of RedCap UEs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ListParagraph"/>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ListParagraph"/>
        <w:numPr>
          <w:ilvl w:val="0"/>
          <w:numId w:val="6"/>
        </w:numPr>
      </w:pPr>
      <w:r>
        <w:t xml:space="preserve">Limitations to max UL BW for RedCap UEs </w:t>
      </w:r>
      <w:r w:rsidR="004515E8">
        <w:t>(e.g., for 50 MHz in FR2).</w:t>
      </w:r>
    </w:p>
    <w:p w14:paraId="4669F22D" w14:textId="1BAB0596" w:rsidR="001B4F71" w:rsidRDefault="00B47EEF" w:rsidP="00D0154D">
      <w:pPr>
        <w:pStyle w:val="ListParagraph"/>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w:t>
      </w:r>
      <w:proofErr w:type="gramStart"/>
      <w:r w:rsidR="00B26984">
        <w:t>sufficient</w:t>
      </w:r>
      <w:proofErr w:type="gramEnd"/>
      <w:r w:rsidR="00B26984">
        <w:t xml:space="preserve">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284605AE"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5D2CA7">
        <w:tc>
          <w:tcPr>
            <w:tcW w:w="1480" w:type="dxa"/>
            <w:shd w:val="clear" w:color="auto" w:fill="D9D9D9" w:themeFill="background1" w:themeFillShade="D9"/>
          </w:tcPr>
          <w:p w14:paraId="1C5A37E9" w14:textId="77777777" w:rsidR="0076289E" w:rsidRDefault="0076289E" w:rsidP="005D2CA7">
            <w:pPr>
              <w:rPr>
                <w:b/>
                <w:bCs/>
              </w:rPr>
            </w:pPr>
            <w:r>
              <w:rPr>
                <w:b/>
                <w:bCs/>
              </w:rPr>
              <w:t>Company</w:t>
            </w:r>
          </w:p>
        </w:tc>
        <w:tc>
          <w:tcPr>
            <w:tcW w:w="1350" w:type="dxa"/>
            <w:shd w:val="clear" w:color="auto" w:fill="D9D9D9" w:themeFill="background1" w:themeFillShade="D9"/>
          </w:tcPr>
          <w:p w14:paraId="4C1FA8A1" w14:textId="77777777" w:rsidR="0076289E" w:rsidRDefault="0076289E" w:rsidP="005D2CA7">
            <w:pPr>
              <w:rPr>
                <w:b/>
                <w:bCs/>
              </w:rPr>
            </w:pPr>
            <w:r>
              <w:rPr>
                <w:b/>
                <w:bCs/>
              </w:rPr>
              <w:t>Agree (Y/N)</w:t>
            </w:r>
          </w:p>
        </w:tc>
        <w:tc>
          <w:tcPr>
            <w:tcW w:w="6801" w:type="dxa"/>
            <w:shd w:val="clear" w:color="auto" w:fill="D9D9D9" w:themeFill="background1" w:themeFillShade="D9"/>
          </w:tcPr>
          <w:p w14:paraId="75951129" w14:textId="77777777" w:rsidR="0076289E" w:rsidRDefault="0076289E" w:rsidP="005D2CA7">
            <w:pPr>
              <w:rPr>
                <w:b/>
                <w:bCs/>
              </w:rPr>
            </w:pPr>
            <w:r>
              <w:rPr>
                <w:b/>
                <w:bCs/>
              </w:rPr>
              <w:t>Comments</w:t>
            </w:r>
          </w:p>
        </w:tc>
      </w:tr>
      <w:tr w:rsidR="0076289E" w14:paraId="7C7AF648" w14:textId="77777777" w:rsidTr="005D2CA7">
        <w:tc>
          <w:tcPr>
            <w:tcW w:w="1480" w:type="dxa"/>
            <w:shd w:val="clear" w:color="auto" w:fill="auto"/>
          </w:tcPr>
          <w:p w14:paraId="55AD4B2D" w14:textId="77777777" w:rsidR="0076289E" w:rsidRDefault="0076289E" w:rsidP="005D2CA7">
            <w:pPr>
              <w:rPr>
                <w:lang w:eastAsia="ko-KR"/>
              </w:rPr>
            </w:pPr>
          </w:p>
        </w:tc>
        <w:tc>
          <w:tcPr>
            <w:tcW w:w="1350" w:type="dxa"/>
            <w:shd w:val="clear" w:color="auto" w:fill="auto"/>
          </w:tcPr>
          <w:p w14:paraId="7429EF76" w14:textId="77777777" w:rsidR="0076289E" w:rsidRDefault="0076289E" w:rsidP="005D2CA7">
            <w:pPr>
              <w:rPr>
                <w:lang w:eastAsia="ko-KR"/>
              </w:rPr>
            </w:pPr>
          </w:p>
        </w:tc>
        <w:tc>
          <w:tcPr>
            <w:tcW w:w="6801" w:type="dxa"/>
            <w:shd w:val="clear" w:color="auto" w:fill="auto"/>
          </w:tcPr>
          <w:p w14:paraId="07D47436" w14:textId="77777777" w:rsidR="0076289E" w:rsidRDefault="0076289E" w:rsidP="005D2CA7"/>
        </w:tc>
      </w:tr>
      <w:tr w:rsidR="0076289E" w14:paraId="3EC1C07F" w14:textId="77777777" w:rsidTr="005D2CA7">
        <w:tc>
          <w:tcPr>
            <w:tcW w:w="1480" w:type="dxa"/>
            <w:shd w:val="clear" w:color="auto" w:fill="auto"/>
          </w:tcPr>
          <w:p w14:paraId="144730FA" w14:textId="77777777" w:rsidR="0076289E" w:rsidRDefault="0076289E" w:rsidP="005D2CA7"/>
        </w:tc>
        <w:tc>
          <w:tcPr>
            <w:tcW w:w="1350" w:type="dxa"/>
            <w:shd w:val="clear" w:color="auto" w:fill="auto"/>
          </w:tcPr>
          <w:p w14:paraId="0A2EB460" w14:textId="77777777" w:rsidR="0076289E" w:rsidRDefault="0076289E" w:rsidP="005D2CA7"/>
        </w:tc>
        <w:tc>
          <w:tcPr>
            <w:tcW w:w="6801" w:type="dxa"/>
            <w:shd w:val="clear" w:color="auto" w:fill="auto"/>
          </w:tcPr>
          <w:p w14:paraId="3CCA7A47" w14:textId="77777777" w:rsidR="0076289E" w:rsidRDefault="0076289E" w:rsidP="005D2CA7"/>
        </w:tc>
      </w:tr>
      <w:tr w:rsidR="0076289E" w14:paraId="116F0F6C" w14:textId="77777777" w:rsidTr="005D2CA7">
        <w:tc>
          <w:tcPr>
            <w:tcW w:w="1480" w:type="dxa"/>
            <w:shd w:val="clear" w:color="auto" w:fill="auto"/>
          </w:tcPr>
          <w:p w14:paraId="2A02A5A6" w14:textId="77777777" w:rsidR="0076289E" w:rsidRDefault="0076289E" w:rsidP="005D2CA7"/>
        </w:tc>
        <w:tc>
          <w:tcPr>
            <w:tcW w:w="1350" w:type="dxa"/>
            <w:shd w:val="clear" w:color="auto" w:fill="auto"/>
          </w:tcPr>
          <w:p w14:paraId="42999F28" w14:textId="77777777" w:rsidR="0076289E" w:rsidRDefault="0076289E" w:rsidP="005D2CA7"/>
        </w:tc>
        <w:tc>
          <w:tcPr>
            <w:tcW w:w="6801" w:type="dxa"/>
            <w:shd w:val="clear" w:color="auto" w:fill="auto"/>
          </w:tcPr>
          <w:p w14:paraId="1A7B90CF" w14:textId="77777777" w:rsidR="0076289E" w:rsidRDefault="0076289E" w:rsidP="005D2CA7"/>
        </w:tc>
      </w:tr>
      <w:tr w:rsidR="0076289E" w14:paraId="01269605" w14:textId="77777777" w:rsidTr="005D2CA7">
        <w:tc>
          <w:tcPr>
            <w:tcW w:w="1480" w:type="dxa"/>
            <w:shd w:val="clear" w:color="auto" w:fill="auto"/>
          </w:tcPr>
          <w:p w14:paraId="6CAF5AE1" w14:textId="77777777" w:rsidR="0076289E" w:rsidRDefault="0076289E" w:rsidP="005D2CA7"/>
        </w:tc>
        <w:tc>
          <w:tcPr>
            <w:tcW w:w="1350" w:type="dxa"/>
            <w:shd w:val="clear" w:color="auto" w:fill="auto"/>
          </w:tcPr>
          <w:p w14:paraId="1E3E4FDE" w14:textId="77777777" w:rsidR="0076289E" w:rsidRDefault="0076289E" w:rsidP="005D2CA7"/>
        </w:tc>
        <w:tc>
          <w:tcPr>
            <w:tcW w:w="6801" w:type="dxa"/>
            <w:shd w:val="clear" w:color="auto" w:fill="auto"/>
          </w:tcPr>
          <w:p w14:paraId="578AC14D" w14:textId="77777777" w:rsidR="0076289E" w:rsidRDefault="0076289E" w:rsidP="005D2CA7"/>
        </w:tc>
      </w:tr>
      <w:tr w:rsidR="0076289E" w14:paraId="661D0A26" w14:textId="77777777" w:rsidTr="005D2CA7">
        <w:tc>
          <w:tcPr>
            <w:tcW w:w="1480" w:type="dxa"/>
            <w:shd w:val="clear" w:color="auto" w:fill="auto"/>
          </w:tcPr>
          <w:p w14:paraId="4055F8A3" w14:textId="77777777" w:rsidR="0076289E" w:rsidRDefault="0076289E" w:rsidP="005D2CA7"/>
        </w:tc>
        <w:tc>
          <w:tcPr>
            <w:tcW w:w="1350" w:type="dxa"/>
            <w:shd w:val="clear" w:color="auto" w:fill="auto"/>
          </w:tcPr>
          <w:p w14:paraId="3D304F3F" w14:textId="77777777" w:rsidR="0076289E" w:rsidRDefault="0076289E" w:rsidP="005D2CA7"/>
        </w:tc>
        <w:tc>
          <w:tcPr>
            <w:tcW w:w="6801" w:type="dxa"/>
            <w:shd w:val="clear" w:color="auto" w:fill="auto"/>
          </w:tcPr>
          <w:p w14:paraId="015CF484" w14:textId="77777777" w:rsidR="0076289E" w:rsidRDefault="0076289E" w:rsidP="005D2CA7"/>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5D2CA7">
        <w:tc>
          <w:tcPr>
            <w:tcW w:w="1480" w:type="dxa"/>
            <w:shd w:val="clear" w:color="auto" w:fill="D9D9D9" w:themeFill="background1" w:themeFillShade="D9"/>
          </w:tcPr>
          <w:p w14:paraId="5AAEF9AC" w14:textId="77777777" w:rsidR="007F3032" w:rsidRDefault="007F3032" w:rsidP="005D2CA7">
            <w:pPr>
              <w:rPr>
                <w:b/>
                <w:bCs/>
              </w:rPr>
            </w:pPr>
            <w:r>
              <w:rPr>
                <w:b/>
                <w:bCs/>
              </w:rPr>
              <w:t>Company</w:t>
            </w:r>
          </w:p>
        </w:tc>
        <w:tc>
          <w:tcPr>
            <w:tcW w:w="1350" w:type="dxa"/>
            <w:shd w:val="clear" w:color="auto" w:fill="D9D9D9" w:themeFill="background1" w:themeFillShade="D9"/>
          </w:tcPr>
          <w:p w14:paraId="05AD1AA6" w14:textId="77777777" w:rsidR="007F3032" w:rsidRDefault="007F3032" w:rsidP="005D2CA7">
            <w:pPr>
              <w:rPr>
                <w:b/>
                <w:bCs/>
              </w:rPr>
            </w:pPr>
            <w:r>
              <w:rPr>
                <w:b/>
                <w:bCs/>
              </w:rPr>
              <w:t>Agree (Y/N)</w:t>
            </w:r>
          </w:p>
        </w:tc>
        <w:tc>
          <w:tcPr>
            <w:tcW w:w="6801" w:type="dxa"/>
            <w:shd w:val="clear" w:color="auto" w:fill="D9D9D9" w:themeFill="background1" w:themeFillShade="D9"/>
          </w:tcPr>
          <w:p w14:paraId="5CE3F9A4" w14:textId="77777777" w:rsidR="007F3032" w:rsidRDefault="007F3032" w:rsidP="005D2CA7">
            <w:pPr>
              <w:rPr>
                <w:b/>
                <w:bCs/>
              </w:rPr>
            </w:pPr>
            <w:r>
              <w:rPr>
                <w:b/>
                <w:bCs/>
              </w:rPr>
              <w:t>Comments</w:t>
            </w:r>
          </w:p>
        </w:tc>
      </w:tr>
      <w:tr w:rsidR="007F3032" w14:paraId="35EDD852" w14:textId="77777777" w:rsidTr="005D2CA7">
        <w:tc>
          <w:tcPr>
            <w:tcW w:w="1480" w:type="dxa"/>
            <w:shd w:val="clear" w:color="auto" w:fill="auto"/>
          </w:tcPr>
          <w:p w14:paraId="0CCABC9F" w14:textId="77777777" w:rsidR="007F3032" w:rsidRDefault="007F3032" w:rsidP="005D2CA7">
            <w:pPr>
              <w:rPr>
                <w:lang w:eastAsia="ko-KR"/>
              </w:rPr>
            </w:pPr>
          </w:p>
        </w:tc>
        <w:tc>
          <w:tcPr>
            <w:tcW w:w="1350" w:type="dxa"/>
            <w:shd w:val="clear" w:color="auto" w:fill="auto"/>
          </w:tcPr>
          <w:p w14:paraId="58B2D7A8" w14:textId="77777777" w:rsidR="007F3032" w:rsidRDefault="007F3032" w:rsidP="005D2CA7">
            <w:pPr>
              <w:rPr>
                <w:lang w:eastAsia="ko-KR"/>
              </w:rPr>
            </w:pPr>
          </w:p>
        </w:tc>
        <w:tc>
          <w:tcPr>
            <w:tcW w:w="6801" w:type="dxa"/>
            <w:shd w:val="clear" w:color="auto" w:fill="auto"/>
          </w:tcPr>
          <w:p w14:paraId="60083533" w14:textId="77777777" w:rsidR="007F3032" w:rsidRDefault="007F3032" w:rsidP="005D2CA7"/>
        </w:tc>
      </w:tr>
      <w:tr w:rsidR="007F3032" w14:paraId="59648DC7" w14:textId="77777777" w:rsidTr="005D2CA7">
        <w:tc>
          <w:tcPr>
            <w:tcW w:w="1480" w:type="dxa"/>
            <w:shd w:val="clear" w:color="auto" w:fill="auto"/>
          </w:tcPr>
          <w:p w14:paraId="00907FC2" w14:textId="77777777" w:rsidR="007F3032" w:rsidRDefault="007F3032" w:rsidP="005D2CA7"/>
        </w:tc>
        <w:tc>
          <w:tcPr>
            <w:tcW w:w="1350" w:type="dxa"/>
            <w:shd w:val="clear" w:color="auto" w:fill="auto"/>
          </w:tcPr>
          <w:p w14:paraId="4281F145" w14:textId="77777777" w:rsidR="007F3032" w:rsidRDefault="007F3032" w:rsidP="005D2CA7"/>
        </w:tc>
        <w:tc>
          <w:tcPr>
            <w:tcW w:w="6801" w:type="dxa"/>
            <w:shd w:val="clear" w:color="auto" w:fill="auto"/>
          </w:tcPr>
          <w:p w14:paraId="0E11BBF6" w14:textId="77777777" w:rsidR="007F3032" w:rsidRDefault="007F3032" w:rsidP="005D2CA7"/>
        </w:tc>
      </w:tr>
      <w:tr w:rsidR="007F3032" w14:paraId="02AD1C38" w14:textId="77777777" w:rsidTr="005D2CA7">
        <w:tc>
          <w:tcPr>
            <w:tcW w:w="1480" w:type="dxa"/>
            <w:shd w:val="clear" w:color="auto" w:fill="auto"/>
          </w:tcPr>
          <w:p w14:paraId="019FFB17" w14:textId="77777777" w:rsidR="007F3032" w:rsidRDefault="007F3032" w:rsidP="005D2CA7"/>
        </w:tc>
        <w:tc>
          <w:tcPr>
            <w:tcW w:w="1350" w:type="dxa"/>
            <w:shd w:val="clear" w:color="auto" w:fill="auto"/>
          </w:tcPr>
          <w:p w14:paraId="71705521" w14:textId="77777777" w:rsidR="007F3032" w:rsidRDefault="007F3032" w:rsidP="005D2CA7"/>
        </w:tc>
        <w:tc>
          <w:tcPr>
            <w:tcW w:w="6801" w:type="dxa"/>
            <w:shd w:val="clear" w:color="auto" w:fill="auto"/>
          </w:tcPr>
          <w:p w14:paraId="7D7EC088" w14:textId="77777777" w:rsidR="007F3032" w:rsidRDefault="007F3032" w:rsidP="005D2CA7"/>
        </w:tc>
      </w:tr>
      <w:tr w:rsidR="007F3032" w14:paraId="4334B8FD" w14:textId="77777777" w:rsidTr="005D2CA7">
        <w:tc>
          <w:tcPr>
            <w:tcW w:w="1480" w:type="dxa"/>
            <w:shd w:val="clear" w:color="auto" w:fill="auto"/>
          </w:tcPr>
          <w:p w14:paraId="462038BB" w14:textId="77777777" w:rsidR="007F3032" w:rsidRDefault="007F3032" w:rsidP="005D2CA7"/>
        </w:tc>
        <w:tc>
          <w:tcPr>
            <w:tcW w:w="1350" w:type="dxa"/>
            <w:shd w:val="clear" w:color="auto" w:fill="auto"/>
          </w:tcPr>
          <w:p w14:paraId="5D2D341A" w14:textId="77777777" w:rsidR="007F3032" w:rsidRDefault="007F3032" w:rsidP="005D2CA7"/>
        </w:tc>
        <w:tc>
          <w:tcPr>
            <w:tcW w:w="6801" w:type="dxa"/>
            <w:shd w:val="clear" w:color="auto" w:fill="auto"/>
          </w:tcPr>
          <w:p w14:paraId="2A34B5F1" w14:textId="77777777" w:rsidR="007F3032" w:rsidRDefault="007F3032" w:rsidP="005D2CA7"/>
        </w:tc>
      </w:tr>
      <w:tr w:rsidR="007F3032" w14:paraId="0815CF4B" w14:textId="77777777" w:rsidTr="005D2CA7">
        <w:tc>
          <w:tcPr>
            <w:tcW w:w="1480" w:type="dxa"/>
            <w:shd w:val="clear" w:color="auto" w:fill="auto"/>
          </w:tcPr>
          <w:p w14:paraId="58A9A4F7" w14:textId="77777777" w:rsidR="007F3032" w:rsidRDefault="007F3032" w:rsidP="005D2CA7"/>
        </w:tc>
        <w:tc>
          <w:tcPr>
            <w:tcW w:w="1350" w:type="dxa"/>
            <w:shd w:val="clear" w:color="auto" w:fill="auto"/>
          </w:tcPr>
          <w:p w14:paraId="7F2A7683" w14:textId="77777777" w:rsidR="007F3032" w:rsidRDefault="007F3032" w:rsidP="005D2CA7"/>
        </w:tc>
        <w:tc>
          <w:tcPr>
            <w:tcW w:w="6801" w:type="dxa"/>
            <w:shd w:val="clear" w:color="auto" w:fill="auto"/>
          </w:tcPr>
          <w:p w14:paraId="1B11772E" w14:textId="77777777" w:rsidR="007F3032" w:rsidRDefault="007F3032" w:rsidP="005D2CA7"/>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3369A28E"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RedCap UEs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5D2CA7">
        <w:tc>
          <w:tcPr>
            <w:tcW w:w="1480" w:type="dxa"/>
            <w:shd w:val="clear" w:color="auto" w:fill="D9D9D9" w:themeFill="background1" w:themeFillShade="D9"/>
          </w:tcPr>
          <w:p w14:paraId="6BF03541" w14:textId="77777777" w:rsidR="00B369D8" w:rsidRDefault="00B369D8" w:rsidP="005D2CA7">
            <w:pPr>
              <w:rPr>
                <w:b/>
                <w:bCs/>
              </w:rPr>
            </w:pPr>
            <w:r>
              <w:rPr>
                <w:b/>
                <w:bCs/>
              </w:rPr>
              <w:t>Company</w:t>
            </w:r>
          </w:p>
        </w:tc>
        <w:tc>
          <w:tcPr>
            <w:tcW w:w="1350" w:type="dxa"/>
            <w:shd w:val="clear" w:color="auto" w:fill="D9D9D9" w:themeFill="background1" w:themeFillShade="D9"/>
          </w:tcPr>
          <w:p w14:paraId="7937E4E3" w14:textId="77777777" w:rsidR="00B369D8" w:rsidRDefault="00B369D8" w:rsidP="005D2CA7">
            <w:pPr>
              <w:rPr>
                <w:b/>
                <w:bCs/>
              </w:rPr>
            </w:pPr>
            <w:r>
              <w:rPr>
                <w:b/>
                <w:bCs/>
              </w:rPr>
              <w:t>Agree (Y/N)</w:t>
            </w:r>
          </w:p>
        </w:tc>
        <w:tc>
          <w:tcPr>
            <w:tcW w:w="6801" w:type="dxa"/>
            <w:shd w:val="clear" w:color="auto" w:fill="D9D9D9" w:themeFill="background1" w:themeFillShade="D9"/>
          </w:tcPr>
          <w:p w14:paraId="7054D66B" w14:textId="77777777" w:rsidR="00B369D8" w:rsidRDefault="00B369D8" w:rsidP="005D2CA7">
            <w:pPr>
              <w:rPr>
                <w:b/>
                <w:bCs/>
              </w:rPr>
            </w:pPr>
            <w:r>
              <w:rPr>
                <w:b/>
                <w:bCs/>
              </w:rPr>
              <w:t>Comments</w:t>
            </w:r>
          </w:p>
        </w:tc>
      </w:tr>
      <w:tr w:rsidR="00B369D8" w14:paraId="6BA3E823" w14:textId="77777777" w:rsidTr="005D2CA7">
        <w:tc>
          <w:tcPr>
            <w:tcW w:w="1480" w:type="dxa"/>
            <w:shd w:val="clear" w:color="auto" w:fill="auto"/>
          </w:tcPr>
          <w:p w14:paraId="3EC0615D" w14:textId="77777777" w:rsidR="00B369D8" w:rsidRDefault="00B369D8" w:rsidP="005D2CA7">
            <w:pPr>
              <w:rPr>
                <w:lang w:eastAsia="ko-KR"/>
              </w:rPr>
            </w:pPr>
          </w:p>
        </w:tc>
        <w:tc>
          <w:tcPr>
            <w:tcW w:w="1350" w:type="dxa"/>
            <w:shd w:val="clear" w:color="auto" w:fill="auto"/>
          </w:tcPr>
          <w:p w14:paraId="7563F29E" w14:textId="77777777" w:rsidR="00B369D8" w:rsidRDefault="00B369D8" w:rsidP="005D2CA7">
            <w:pPr>
              <w:rPr>
                <w:lang w:eastAsia="ko-KR"/>
              </w:rPr>
            </w:pPr>
          </w:p>
        </w:tc>
        <w:tc>
          <w:tcPr>
            <w:tcW w:w="6801" w:type="dxa"/>
            <w:shd w:val="clear" w:color="auto" w:fill="auto"/>
          </w:tcPr>
          <w:p w14:paraId="165F9355" w14:textId="77777777" w:rsidR="00B369D8" w:rsidRDefault="00B369D8" w:rsidP="005D2CA7"/>
        </w:tc>
      </w:tr>
      <w:tr w:rsidR="00B369D8" w14:paraId="36E6036E" w14:textId="77777777" w:rsidTr="005D2CA7">
        <w:tc>
          <w:tcPr>
            <w:tcW w:w="1480" w:type="dxa"/>
            <w:shd w:val="clear" w:color="auto" w:fill="auto"/>
          </w:tcPr>
          <w:p w14:paraId="0A0D72C4" w14:textId="77777777" w:rsidR="00B369D8" w:rsidRDefault="00B369D8" w:rsidP="005D2CA7"/>
        </w:tc>
        <w:tc>
          <w:tcPr>
            <w:tcW w:w="1350" w:type="dxa"/>
            <w:shd w:val="clear" w:color="auto" w:fill="auto"/>
          </w:tcPr>
          <w:p w14:paraId="40F879FB" w14:textId="77777777" w:rsidR="00B369D8" w:rsidRDefault="00B369D8" w:rsidP="005D2CA7"/>
        </w:tc>
        <w:tc>
          <w:tcPr>
            <w:tcW w:w="6801" w:type="dxa"/>
            <w:shd w:val="clear" w:color="auto" w:fill="auto"/>
          </w:tcPr>
          <w:p w14:paraId="176C758B" w14:textId="77777777" w:rsidR="00B369D8" w:rsidRDefault="00B369D8" w:rsidP="005D2CA7"/>
        </w:tc>
      </w:tr>
      <w:tr w:rsidR="00B369D8" w14:paraId="08DF8FD5" w14:textId="77777777" w:rsidTr="005D2CA7">
        <w:tc>
          <w:tcPr>
            <w:tcW w:w="1480" w:type="dxa"/>
            <w:shd w:val="clear" w:color="auto" w:fill="auto"/>
          </w:tcPr>
          <w:p w14:paraId="311E53B3" w14:textId="77777777" w:rsidR="00B369D8" w:rsidRDefault="00B369D8" w:rsidP="005D2CA7"/>
        </w:tc>
        <w:tc>
          <w:tcPr>
            <w:tcW w:w="1350" w:type="dxa"/>
            <w:shd w:val="clear" w:color="auto" w:fill="auto"/>
          </w:tcPr>
          <w:p w14:paraId="737DD177" w14:textId="77777777" w:rsidR="00B369D8" w:rsidRDefault="00B369D8" w:rsidP="005D2CA7"/>
        </w:tc>
        <w:tc>
          <w:tcPr>
            <w:tcW w:w="6801" w:type="dxa"/>
            <w:shd w:val="clear" w:color="auto" w:fill="auto"/>
          </w:tcPr>
          <w:p w14:paraId="3CD9C176" w14:textId="77777777" w:rsidR="00B369D8" w:rsidRDefault="00B369D8" w:rsidP="005D2CA7"/>
        </w:tc>
      </w:tr>
      <w:tr w:rsidR="00B369D8" w14:paraId="5440C2B8" w14:textId="77777777" w:rsidTr="005D2CA7">
        <w:tc>
          <w:tcPr>
            <w:tcW w:w="1480" w:type="dxa"/>
            <w:shd w:val="clear" w:color="auto" w:fill="auto"/>
          </w:tcPr>
          <w:p w14:paraId="039D8831" w14:textId="77777777" w:rsidR="00B369D8" w:rsidRDefault="00B369D8" w:rsidP="005D2CA7"/>
        </w:tc>
        <w:tc>
          <w:tcPr>
            <w:tcW w:w="1350" w:type="dxa"/>
            <w:shd w:val="clear" w:color="auto" w:fill="auto"/>
          </w:tcPr>
          <w:p w14:paraId="4D7E80EA" w14:textId="77777777" w:rsidR="00B369D8" w:rsidRDefault="00B369D8" w:rsidP="005D2CA7"/>
        </w:tc>
        <w:tc>
          <w:tcPr>
            <w:tcW w:w="6801" w:type="dxa"/>
            <w:shd w:val="clear" w:color="auto" w:fill="auto"/>
          </w:tcPr>
          <w:p w14:paraId="092464EE" w14:textId="77777777" w:rsidR="00B369D8" w:rsidRDefault="00B369D8" w:rsidP="005D2CA7"/>
        </w:tc>
      </w:tr>
      <w:tr w:rsidR="00B369D8" w14:paraId="7379964A" w14:textId="77777777" w:rsidTr="005D2CA7">
        <w:tc>
          <w:tcPr>
            <w:tcW w:w="1480" w:type="dxa"/>
            <w:shd w:val="clear" w:color="auto" w:fill="auto"/>
          </w:tcPr>
          <w:p w14:paraId="537AF8E4" w14:textId="77777777" w:rsidR="00B369D8" w:rsidRDefault="00B369D8" w:rsidP="005D2CA7"/>
        </w:tc>
        <w:tc>
          <w:tcPr>
            <w:tcW w:w="1350" w:type="dxa"/>
            <w:shd w:val="clear" w:color="auto" w:fill="auto"/>
          </w:tcPr>
          <w:p w14:paraId="2FAB19D2" w14:textId="77777777" w:rsidR="00B369D8" w:rsidRDefault="00B369D8" w:rsidP="005D2CA7"/>
        </w:tc>
        <w:tc>
          <w:tcPr>
            <w:tcW w:w="6801" w:type="dxa"/>
            <w:shd w:val="clear" w:color="auto" w:fill="auto"/>
          </w:tcPr>
          <w:p w14:paraId="520A62B5" w14:textId="77777777" w:rsidR="00B369D8" w:rsidRDefault="00B369D8" w:rsidP="005D2CA7"/>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RedCap device </w:t>
      </w:r>
      <w:proofErr w:type="gramStart"/>
      <w:r>
        <w:t>types, and</w:t>
      </w:r>
      <w:proofErr w:type="gramEnd"/>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 xml:space="preserve">(from AI </w:t>
      </w:r>
      <w:r w:rsidR="00757188" w:rsidRPr="00757188">
        <w:rPr>
          <w:i/>
          <w:iCs/>
        </w:rPr>
        <w:lastRenderedPageBreak/>
        <w:t>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CA2B76"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5D2CA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CA2B76"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5D2CA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CA2B76"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5D2CA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w:t>
            </w:r>
            <w:r w:rsidRPr="00875034">
              <w:rPr>
                <w:bCs/>
                <w:i/>
                <w:iCs/>
              </w:rPr>
              <w:lastRenderedPageBreak/>
              <w:t>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CA2B76"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5D2CA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w:t>
            </w:r>
            <w:proofErr w:type="gramStart"/>
            <w:r w:rsidRPr="00563B56">
              <w:rPr>
                <w:bCs/>
                <w:i/>
                <w:iCs/>
              </w:rPr>
              <w:t>is allowed to</w:t>
            </w:r>
            <w:proofErr w:type="gramEnd"/>
            <w:r w:rsidRPr="00563B56">
              <w:rPr>
                <w:bCs/>
                <w:i/>
                <w:iCs/>
              </w:rPr>
              <w:t xml:space="preserve">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w:t>
            </w:r>
            <w:proofErr w:type="gramStart"/>
            <w:r w:rsidRPr="00563B56">
              <w:rPr>
                <w:bCs/>
                <w:i/>
                <w:iCs/>
              </w:rPr>
              <w:t>by definition of</w:t>
            </w:r>
            <w:proofErr w:type="gramEnd"/>
            <w:r w:rsidRPr="00563B56">
              <w:rPr>
                <w:bCs/>
                <w:i/>
                <w:iCs/>
              </w:rPr>
              <w:t xml:space="preserve">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CA2B76"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5D2CA7">
        <w:tc>
          <w:tcPr>
            <w:tcW w:w="9350" w:type="dxa"/>
          </w:tcPr>
          <w:p w14:paraId="75595B69" w14:textId="77777777" w:rsidR="006F0E96" w:rsidRPr="00563B56" w:rsidRDefault="006F0E96" w:rsidP="005D2CA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5D2CA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CA2B76"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5D2CA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CA2B76"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5D2CA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lastRenderedPageBreak/>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CA2B76"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5D2CA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CA2B76"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5D2CA7">
        <w:tc>
          <w:tcPr>
            <w:tcW w:w="9350" w:type="dxa"/>
          </w:tcPr>
          <w:p w14:paraId="4C7F1AE2" w14:textId="77777777" w:rsidR="006F0E96" w:rsidRPr="00875034" w:rsidRDefault="006F0E96" w:rsidP="005D2CA7">
            <w:pPr>
              <w:rPr>
                <w:bCs/>
                <w:i/>
                <w:iCs/>
              </w:rPr>
            </w:pPr>
            <w:r w:rsidRPr="00875034">
              <w:rPr>
                <w:bCs/>
                <w:i/>
                <w:iCs/>
              </w:rPr>
              <w:t>Proposal 1: Discuss whether to introduce new device types for RedCap UEs</w:t>
            </w:r>
          </w:p>
          <w:p w14:paraId="4337255F" w14:textId="77777777" w:rsidR="006F0E96" w:rsidRPr="00875034" w:rsidRDefault="006F0E96" w:rsidP="005D2CA7">
            <w:pPr>
              <w:rPr>
                <w:bCs/>
                <w:i/>
                <w:iCs/>
              </w:rPr>
            </w:pPr>
            <w:r w:rsidRPr="00875034">
              <w:rPr>
                <w:bCs/>
                <w:i/>
                <w:iCs/>
              </w:rPr>
              <w:t>Proposal 2: Discuss whether to introduce a new initial access mechanism for RedCap UEs.</w:t>
            </w:r>
          </w:p>
          <w:p w14:paraId="35A17C1D" w14:textId="77777777" w:rsidR="006F0E96" w:rsidRPr="00875034" w:rsidRDefault="006F0E96" w:rsidP="005D2CA7">
            <w:pPr>
              <w:rPr>
                <w:bCs/>
                <w:i/>
                <w:iCs/>
              </w:rPr>
            </w:pPr>
            <w:r w:rsidRPr="00875034">
              <w:rPr>
                <w:bCs/>
                <w:i/>
                <w:iCs/>
              </w:rPr>
              <w:t>Proposal 3: Study early identification of RedCap UEs.</w:t>
            </w:r>
          </w:p>
          <w:p w14:paraId="0F232CC5" w14:textId="77777777" w:rsidR="006F0E96" w:rsidRPr="00875034" w:rsidRDefault="006F0E96" w:rsidP="005D2CA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CA2B76"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5D2CA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w:t>
            </w:r>
            <w:proofErr w:type="gramStart"/>
            <w:r w:rsidRPr="003B7BBB">
              <w:rPr>
                <w:bCs/>
                <w:i/>
                <w:iCs/>
              </w:rPr>
              <w:t>is</w:t>
            </w:r>
            <w:proofErr w:type="gramEnd"/>
            <w:r w:rsidRPr="003B7BBB">
              <w:rPr>
                <w:bCs/>
                <w:i/>
                <w:iCs/>
              </w:rPr>
              <w:t xml:space="preserve"> beneficial for </w:t>
            </w:r>
            <w:proofErr w:type="spellStart"/>
            <w:r w:rsidRPr="003B7BBB">
              <w:rPr>
                <w:bCs/>
                <w:i/>
                <w:iCs/>
              </w:rPr>
              <w:t>gNB</w:t>
            </w:r>
            <w:proofErr w:type="spellEnd"/>
            <w:r w:rsidRPr="003B7BBB">
              <w:rPr>
                <w:bCs/>
                <w:i/>
                <w:iCs/>
              </w:rPr>
              <w:t xml:space="preserve">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w:t>
            </w:r>
            <w:r w:rsidRPr="003B7BBB">
              <w:rPr>
                <w:bCs/>
                <w:i/>
                <w:iCs/>
              </w:rPr>
              <w:lastRenderedPageBreak/>
              <w:t xml:space="preserve">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w:t>
            </w:r>
            <w:proofErr w:type="gramStart"/>
            <w:r w:rsidRPr="003B7BBB">
              <w:rPr>
                <w:bCs/>
                <w:i/>
                <w:iCs/>
              </w:rPr>
              <w:t>UEs  for</w:t>
            </w:r>
            <w:proofErr w:type="gramEnd"/>
            <w:r w:rsidRPr="003B7BBB">
              <w:rPr>
                <w:bCs/>
                <w:i/>
                <w:iCs/>
              </w:rPr>
              <w:t xml:space="preserve">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RedCap </w:t>
            </w:r>
            <w:proofErr w:type="gramStart"/>
            <w:r w:rsidRPr="003B7BBB">
              <w:rPr>
                <w:bCs/>
                <w:i/>
                <w:iCs/>
              </w:rPr>
              <w:t>UEs  for</w:t>
            </w:r>
            <w:proofErr w:type="gramEnd"/>
            <w:r w:rsidRPr="003B7BBB">
              <w:rPr>
                <w:bCs/>
                <w:i/>
                <w:iCs/>
              </w:rPr>
              <w:t xml:space="preserve">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5D2CA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CA2B76"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5D2CA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should also indicate if the cell is REDCAP capable to prevent REDCAP devices from unnecessarily wasting resources attempting to access a non-REDCAP capable </w:t>
            </w:r>
            <w:r w:rsidRPr="00EA39B5">
              <w:rPr>
                <w:bCs/>
                <w:i/>
                <w:iCs/>
              </w:rPr>
              <w:lastRenderedPageBreak/>
              <w:t>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5D2CA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CA2B76"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5D2CA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CA2B76"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5D2CA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5D2CA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5D2CA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5D2CA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CA2B76"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5D2CA7">
        <w:tc>
          <w:tcPr>
            <w:tcW w:w="9350" w:type="dxa"/>
          </w:tcPr>
          <w:p w14:paraId="56B5F80F" w14:textId="0FBDD428" w:rsidR="00C50AAB" w:rsidRPr="00C50AAB" w:rsidRDefault="00C50AAB" w:rsidP="00C50AAB">
            <w:pPr>
              <w:rPr>
                <w:bCs/>
                <w:i/>
                <w:iCs/>
              </w:rPr>
            </w:pPr>
            <w:r w:rsidRPr="00C50AAB">
              <w:rPr>
                <w:bCs/>
                <w:i/>
                <w:iCs/>
              </w:rPr>
              <w:t xml:space="preserve">Observation 1: Ensuring that a </w:t>
            </w:r>
            <w:proofErr w:type="gramStart"/>
            <w:r w:rsidRPr="00C50AAB">
              <w:rPr>
                <w:bCs/>
                <w:i/>
                <w:iCs/>
              </w:rPr>
              <w:t>particular device</w:t>
            </w:r>
            <w:proofErr w:type="gramEnd"/>
            <w:r w:rsidRPr="00C50AAB">
              <w:rPr>
                <w:bCs/>
                <w:i/>
                <w:iCs/>
              </w:rPr>
              <w:t xml:space="preserv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w:t>
            </w:r>
            <w:r w:rsidRPr="00C50AAB">
              <w:rPr>
                <w:bCs/>
                <w:i/>
                <w:iCs/>
              </w:rPr>
              <w:lastRenderedPageBreak/>
              <w:t>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w:t>
            </w:r>
            <w:proofErr w:type="gramStart"/>
            <w:r w:rsidRPr="00C50AAB">
              <w:rPr>
                <w:bCs/>
                <w:i/>
                <w:iCs/>
              </w:rPr>
              <w:t>and also</w:t>
            </w:r>
            <w:proofErr w:type="gramEnd"/>
            <w:r w:rsidRPr="00C50AAB">
              <w:rPr>
                <w:bCs/>
                <w:i/>
                <w:iCs/>
              </w:rPr>
              <w:t xml:space="preserve"> reduces the signalling overhead.</w:t>
            </w:r>
          </w:p>
          <w:p w14:paraId="3F66EF59" w14:textId="4CF79711" w:rsidR="009869A7" w:rsidRPr="00C50AAB" w:rsidRDefault="00C50AAB" w:rsidP="005D2CA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CA2B76"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5D2CA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5D2CA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5D2CA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5D2CA7">
            <w:pPr>
              <w:rPr>
                <w:bCs/>
                <w:i/>
                <w:iCs/>
              </w:rPr>
            </w:pPr>
            <w:r w:rsidRPr="0087472B">
              <w:rPr>
                <w:bCs/>
                <w:i/>
                <w:iCs/>
              </w:rPr>
              <w:t xml:space="preserve">Proposal 4: Early identification of RedCap capability by RACH procedure can be considered. </w:t>
            </w:r>
          </w:p>
          <w:p w14:paraId="34ECFEC5" w14:textId="77777777" w:rsidR="009869A7" w:rsidRDefault="009869A7" w:rsidP="005D2CA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CA2B76"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5D2CA7">
        <w:tc>
          <w:tcPr>
            <w:tcW w:w="9350" w:type="dxa"/>
          </w:tcPr>
          <w:p w14:paraId="1E7A734A" w14:textId="77777777" w:rsidR="00B6405E" w:rsidRPr="007F1C13" w:rsidRDefault="00B6405E" w:rsidP="005D2CA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5D2CA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CA2B76"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5D2CA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5D2CA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5: Study coverage recovery and coverage enhancement separately in different SI, until commonalities and differences in terms of potential solutions and standardization impacts are well understood.  After that, RAN1 </w:t>
            </w:r>
            <w:r w:rsidRPr="007F1C13">
              <w:rPr>
                <w:bCs/>
                <w:i/>
                <w:iCs/>
              </w:rPr>
              <w:lastRenderedPageBreak/>
              <w:t>can further discuss whether/how to merge some of the topics that have been studied by both SI.</w:t>
            </w:r>
          </w:p>
          <w:p w14:paraId="31EABCCC" w14:textId="42C55561" w:rsidR="007F1C13" w:rsidRPr="007F1C13" w:rsidRDefault="007F1C13" w:rsidP="005D2CA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5D2CA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5D2CA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CA2B76"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5D2CA7">
        <w:tc>
          <w:tcPr>
            <w:tcW w:w="9350" w:type="dxa"/>
          </w:tcPr>
          <w:p w14:paraId="26BFF5EA" w14:textId="77777777" w:rsidR="00523CC6" w:rsidRPr="00563B56" w:rsidRDefault="00523CC6" w:rsidP="005D2CA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5D2CA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5D2CA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5D2CA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CA2B76"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5D2CA7">
        <w:tc>
          <w:tcPr>
            <w:tcW w:w="9350" w:type="dxa"/>
          </w:tcPr>
          <w:p w14:paraId="3038F99A" w14:textId="77777777" w:rsidR="00F00B96" w:rsidRPr="00563B56" w:rsidRDefault="00F00B96" w:rsidP="005D2CA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5D2CA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5D2CA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C3C5" w14:textId="77777777" w:rsidR="00770D6D" w:rsidRDefault="00770D6D" w:rsidP="004C0876">
      <w:pPr>
        <w:spacing w:after="0"/>
      </w:pPr>
      <w:r>
        <w:separator/>
      </w:r>
    </w:p>
  </w:endnote>
  <w:endnote w:type="continuationSeparator" w:id="0">
    <w:p w14:paraId="5EB27971" w14:textId="77777777" w:rsidR="00770D6D" w:rsidRDefault="00770D6D"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79AD1F3" w:rsidR="00FE73F0" w:rsidRDefault="00FE73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86F307" w14:textId="77777777" w:rsidR="00611C64" w:rsidRDefault="00611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3289" w14:textId="77777777" w:rsidR="00770D6D" w:rsidRDefault="00770D6D" w:rsidP="004C0876">
      <w:pPr>
        <w:spacing w:after="0"/>
      </w:pPr>
      <w:r>
        <w:separator/>
      </w:r>
    </w:p>
  </w:footnote>
  <w:footnote w:type="continuationSeparator" w:id="0">
    <w:p w14:paraId="2ED09129" w14:textId="77777777" w:rsidR="00770D6D" w:rsidRDefault="00770D6D"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6"/>
  </w:num>
  <w:num w:numId="3">
    <w:abstractNumId w:val="11"/>
  </w:num>
  <w:num w:numId="4">
    <w:abstractNumId w:val="10"/>
  </w:num>
  <w:num w:numId="5">
    <w:abstractNumId w:val="5"/>
  </w:num>
  <w:num w:numId="6">
    <w:abstractNumId w:val="25"/>
  </w:num>
  <w:num w:numId="7">
    <w:abstractNumId w:val="19"/>
  </w:num>
  <w:num w:numId="8">
    <w:abstractNumId w:val="17"/>
  </w:num>
  <w:num w:numId="9">
    <w:abstractNumId w:val="1"/>
  </w:num>
  <w:num w:numId="10">
    <w:abstractNumId w:val="15"/>
  </w:num>
  <w:num w:numId="11">
    <w:abstractNumId w:val="7"/>
  </w:num>
  <w:num w:numId="12">
    <w:abstractNumId w:val="22"/>
  </w:num>
  <w:num w:numId="13">
    <w:abstractNumId w:val="4"/>
  </w:num>
  <w:num w:numId="14">
    <w:abstractNumId w:val="23"/>
  </w:num>
  <w:num w:numId="15">
    <w:abstractNumId w:val="12"/>
  </w:num>
  <w:num w:numId="16">
    <w:abstractNumId w:val="8"/>
  </w:num>
  <w:num w:numId="17">
    <w:abstractNumId w:val="18"/>
  </w:num>
  <w:num w:numId="18">
    <w:abstractNumId w:val="6"/>
  </w:num>
  <w:num w:numId="19">
    <w:abstractNumId w:val="2"/>
  </w:num>
  <w:num w:numId="20">
    <w:abstractNumId w:val="16"/>
  </w:num>
  <w:num w:numId="21">
    <w:abstractNumId w:val="20"/>
  </w:num>
  <w:num w:numId="22">
    <w:abstractNumId w:val="3"/>
  </w:num>
  <w:num w:numId="23">
    <w:abstractNumId w:val="0"/>
  </w:num>
  <w:num w:numId="24">
    <w:abstractNumId w:val="24"/>
  </w:num>
  <w:num w:numId="25">
    <w:abstractNumId w:val="14"/>
  </w:num>
  <w:num w:numId="26">
    <w:abstractNumId w:val="9"/>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61A1"/>
    <w:rsid w:val="00176BA2"/>
    <w:rsid w:val="0017724D"/>
    <w:rsid w:val="00182879"/>
    <w:rsid w:val="00183D53"/>
    <w:rsid w:val="00183D99"/>
    <w:rsid w:val="00185C61"/>
    <w:rsid w:val="00186C7F"/>
    <w:rsid w:val="00186F19"/>
    <w:rsid w:val="00191DD9"/>
    <w:rsid w:val="00192421"/>
    <w:rsid w:val="00192AFC"/>
    <w:rsid w:val="00193D4C"/>
    <w:rsid w:val="00195805"/>
    <w:rsid w:val="00197009"/>
    <w:rsid w:val="0019713C"/>
    <w:rsid w:val="001972D1"/>
    <w:rsid w:val="001A2F6C"/>
    <w:rsid w:val="001A52DB"/>
    <w:rsid w:val="001A584E"/>
    <w:rsid w:val="001A7CD0"/>
    <w:rsid w:val="001B0A55"/>
    <w:rsid w:val="001B0ADA"/>
    <w:rsid w:val="001B0CAC"/>
    <w:rsid w:val="001B117D"/>
    <w:rsid w:val="001B2246"/>
    <w:rsid w:val="001B4F71"/>
    <w:rsid w:val="001B6C6D"/>
    <w:rsid w:val="001C0C19"/>
    <w:rsid w:val="001C0EEB"/>
    <w:rsid w:val="001C1DB4"/>
    <w:rsid w:val="001C2991"/>
    <w:rsid w:val="001C3727"/>
    <w:rsid w:val="001C45D3"/>
    <w:rsid w:val="001C4F95"/>
    <w:rsid w:val="001D08D5"/>
    <w:rsid w:val="001D0D21"/>
    <w:rsid w:val="001D4654"/>
    <w:rsid w:val="001D4BE1"/>
    <w:rsid w:val="001D77CC"/>
    <w:rsid w:val="001E06A4"/>
    <w:rsid w:val="001E08B1"/>
    <w:rsid w:val="001E3135"/>
    <w:rsid w:val="001E4D8E"/>
    <w:rsid w:val="001E5720"/>
    <w:rsid w:val="001E5BD8"/>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779"/>
    <w:rsid w:val="00240A24"/>
    <w:rsid w:val="00241CB7"/>
    <w:rsid w:val="00242990"/>
    <w:rsid w:val="00242DE8"/>
    <w:rsid w:val="002470AB"/>
    <w:rsid w:val="002518AC"/>
    <w:rsid w:val="002555EA"/>
    <w:rsid w:val="002570CB"/>
    <w:rsid w:val="002579A4"/>
    <w:rsid w:val="002605A8"/>
    <w:rsid w:val="002606DB"/>
    <w:rsid w:val="0026234E"/>
    <w:rsid w:val="0026628E"/>
    <w:rsid w:val="002703CA"/>
    <w:rsid w:val="00273359"/>
    <w:rsid w:val="0027336B"/>
    <w:rsid w:val="00274972"/>
    <w:rsid w:val="00277ED4"/>
    <w:rsid w:val="002815BC"/>
    <w:rsid w:val="00283CE6"/>
    <w:rsid w:val="00284D0A"/>
    <w:rsid w:val="00285D81"/>
    <w:rsid w:val="0028713D"/>
    <w:rsid w:val="002912A4"/>
    <w:rsid w:val="00293499"/>
    <w:rsid w:val="002940DE"/>
    <w:rsid w:val="002941D2"/>
    <w:rsid w:val="00294EC7"/>
    <w:rsid w:val="00295114"/>
    <w:rsid w:val="00295687"/>
    <w:rsid w:val="00295E1C"/>
    <w:rsid w:val="002A094B"/>
    <w:rsid w:val="002A288F"/>
    <w:rsid w:val="002A4D2B"/>
    <w:rsid w:val="002A5D6A"/>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854"/>
    <w:rsid w:val="002E1C44"/>
    <w:rsid w:val="002E3491"/>
    <w:rsid w:val="002E523D"/>
    <w:rsid w:val="002E5F18"/>
    <w:rsid w:val="002E6500"/>
    <w:rsid w:val="002E679E"/>
    <w:rsid w:val="002E6D80"/>
    <w:rsid w:val="002F0669"/>
    <w:rsid w:val="002F17FA"/>
    <w:rsid w:val="002F3829"/>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1034"/>
    <w:rsid w:val="00351238"/>
    <w:rsid w:val="00351B20"/>
    <w:rsid w:val="003527B3"/>
    <w:rsid w:val="0035470C"/>
    <w:rsid w:val="003557D5"/>
    <w:rsid w:val="003565BA"/>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6E08"/>
    <w:rsid w:val="003B087E"/>
    <w:rsid w:val="003B1EF4"/>
    <w:rsid w:val="003B3843"/>
    <w:rsid w:val="003B4A93"/>
    <w:rsid w:val="003B50ED"/>
    <w:rsid w:val="003B68B3"/>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73D0"/>
    <w:rsid w:val="00457B09"/>
    <w:rsid w:val="00464B14"/>
    <w:rsid w:val="00467639"/>
    <w:rsid w:val="0047242D"/>
    <w:rsid w:val="0047289B"/>
    <w:rsid w:val="00472A5C"/>
    <w:rsid w:val="004730A8"/>
    <w:rsid w:val="00473358"/>
    <w:rsid w:val="00473B72"/>
    <w:rsid w:val="00474429"/>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66F"/>
    <w:rsid w:val="00560F89"/>
    <w:rsid w:val="005623AD"/>
    <w:rsid w:val="00563B56"/>
    <w:rsid w:val="00566E19"/>
    <w:rsid w:val="005676A9"/>
    <w:rsid w:val="00567A07"/>
    <w:rsid w:val="005701AE"/>
    <w:rsid w:val="00570C00"/>
    <w:rsid w:val="00571085"/>
    <w:rsid w:val="005731CB"/>
    <w:rsid w:val="00573B42"/>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3651"/>
    <w:rsid w:val="00613654"/>
    <w:rsid w:val="00614264"/>
    <w:rsid w:val="006176A2"/>
    <w:rsid w:val="00617BFF"/>
    <w:rsid w:val="0062048D"/>
    <w:rsid w:val="006208F9"/>
    <w:rsid w:val="0062142C"/>
    <w:rsid w:val="006240A1"/>
    <w:rsid w:val="00624F23"/>
    <w:rsid w:val="00630509"/>
    <w:rsid w:val="00631FEC"/>
    <w:rsid w:val="00632337"/>
    <w:rsid w:val="00632787"/>
    <w:rsid w:val="00633093"/>
    <w:rsid w:val="006333BB"/>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B6B"/>
    <w:rsid w:val="0075717E"/>
    <w:rsid w:val="00757188"/>
    <w:rsid w:val="007571AC"/>
    <w:rsid w:val="00760FDA"/>
    <w:rsid w:val="007616F9"/>
    <w:rsid w:val="00761FCB"/>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20B5B"/>
    <w:rsid w:val="00822040"/>
    <w:rsid w:val="0082344B"/>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419"/>
    <w:rsid w:val="00984B70"/>
    <w:rsid w:val="00984D9F"/>
    <w:rsid w:val="00985631"/>
    <w:rsid w:val="00985897"/>
    <w:rsid w:val="009869A7"/>
    <w:rsid w:val="00986CCA"/>
    <w:rsid w:val="00992D94"/>
    <w:rsid w:val="009931B2"/>
    <w:rsid w:val="0099328C"/>
    <w:rsid w:val="0099442E"/>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6800"/>
    <w:rsid w:val="00AC720A"/>
    <w:rsid w:val="00AD14CA"/>
    <w:rsid w:val="00AD3918"/>
    <w:rsid w:val="00AD6A21"/>
    <w:rsid w:val="00AD7502"/>
    <w:rsid w:val="00AE0C12"/>
    <w:rsid w:val="00AE0C98"/>
    <w:rsid w:val="00AE1591"/>
    <w:rsid w:val="00AE3819"/>
    <w:rsid w:val="00AE3EF1"/>
    <w:rsid w:val="00AE4BA4"/>
    <w:rsid w:val="00AE652A"/>
    <w:rsid w:val="00AF01FA"/>
    <w:rsid w:val="00AF554C"/>
    <w:rsid w:val="00AF6859"/>
    <w:rsid w:val="00AF7C9B"/>
    <w:rsid w:val="00B01F61"/>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7960"/>
    <w:rsid w:val="00C8002A"/>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66BA"/>
    <w:rsid w:val="00D16C95"/>
    <w:rsid w:val="00D2075B"/>
    <w:rsid w:val="00D22430"/>
    <w:rsid w:val="00D3037A"/>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76E3"/>
    <w:rsid w:val="00D965FD"/>
    <w:rsid w:val="00D96911"/>
    <w:rsid w:val="00DA0FDA"/>
    <w:rsid w:val="00DA153F"/>
    <w:rsid w:val="00DA2679"/>
    <w:rsid w:val="00DA3133"/>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165B"/>
    <w:rsid w:val="00DD1BD3"/>
    <w:rsid w:val="00DD26F8"/>
    <w:rsid w:val="00DD28D0"/>
    <w:rsid w:val="00DD3090"/>
    <w:rsid w:val="00DD3572"/>
    <w:rsid w:val="00DD5348"/>
    <w:rsid w:val="00DD6B94"/>
    <w:rsid w:val="00DD70AC"/>
    <w:rsid w:val="00DE2B0C"/>
    <w:rsid w:val="00DE3673"/>
    <w:rsid w:val="00DE5485"/>
    <w:rsid w:val="00DF02B8"/>
    <w:rsid w:val="00DF06AF"/>
    <w:rsid w:val="00DF4943"/>
    <w:rsid w:val="00DF5377"/>
    <w:rsid w:val="00DF5740"/>
    <w:rsid w:val="00E04330"/>
    <w:rsid w:val="00E04B95"/>
    <w:rsid w:val="00E07188"/>
    <w:rsid w:val="00E073FF"/>
    <w:rsid w:val="00E076C8"/>
    <w:rsid w:val="00E1072B"/>
    <w:rsid w:val="00E12628"/>
    <w:rsid w:val="00E1305F"/>
    <w:rsid w:val="00E13578"/>
    <w:rsid w:val="00E144D3"/>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3812"/>
    <w:rsid w:val="00EC3BF9"/>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列出段落,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80B12"/>
    <w:pPr>
      <w:ind w:left="720"/>
      <w:contextualSpacing/>
    </w:p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ì¬º¥¹¥È¶ÎÂä Char,ÁÐ³ö¶ÎÂä Char,列表段落1 Char,—ño’i—Ž Char,¥ê¥¹¥È¶ÎÂä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C1163D32-0740-4C4D-B57A-04E8E526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13</Pages>
  <Words>4843</Words>
  <Characters>26220</Characters>
  <Application>Microsoft Office Word</Application>
  <DocSecurity>0</DocSecurity>
  <Lines>596</Lines>
  <Paragraphs>290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Chatterjee, Debdeep</cp:lastModifiedBy>
  <cp:revision>285</cp:revision>
  <dcterms:created xsi:type="dcterms:W3CDTF">2020-08-17T03:32:00Z</dcterms:created>
  <dcterms:modified xsi:type="dcterms:W3CDTF">2020-08-18T19:57:00Z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