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ListParagraph"/>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(i)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w:t>
            </w:r>
            <w:proofErr w:type="gramStart"/>
            <w:r>
              <w:t>A,B</w:t>
            </w:r>
            <w:proofErr w:type="gramEnd"/>
            <w:r>
              <w:t xml:space="preserve">,C,D.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xml:space="preserve">, not intending for any </w:t>
            </w:r>
            <w:proofErr w:type="gramStart"/>
            <w:r w:rsidR="007F00A6">
              <w:t>down-selection</w:t>
            </w:r>
            <w:proofErr w:type="gramEnd"/>
            <w:r w:rsidR="007F00A6">
              <w:t xml:space="preserve">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 xml:space="preserve">In our view, RAN2 </w:t>
            </w:r>
            <w:proofErr w:type="gramStart"/>
            <w:r>
              <w:t>has to</w:t>
            </w:r>
            <w:proofErr w:type="gramEnd"/>
            <w:r>
              <w:t xml:space="preserve">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0F47CC">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0F47CC">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lastRenderedPageBreak/>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r>
              <w:rPr>
                <w:rFonts w:eastAsiaTheme="minorEastAsia"/>
              </w:rPr>
              <w:t xml:space="preserve">Convida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w:t>
      </w:r>
      <w:proofErr w:type="gramStart"/>
      <w:r>
        <w:rPr>
          <w:i/>
          <w:iCs/>
        </w:rPr>
        <w:t>an</w:t>
      </w:r>
      <w:proofErr w:type="gramEnd"/>
      <w:r>
        <w:rPr>
          <w:i/>
          <w:iCs/>
        </w:rPr>
        <w:t xml:space="preserve">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w:t>
            </w:r>
            <w:proofErr w:type="gramStart"/>
            <w:r>
              <w:rPr>
                <w:rFonts w:eastAsia="Malgun Gothic"/>
                <w:lang w:eastAsia="ko-KR"/>
              </w:rPr>
              <w:t>an</w:t>
            </w:r>
            <w:proofErr w:type="gramEnd"/>
            <w:r>
              <w:rPr>
                <w:rFonts w:eastAsia="Malgun Gothic"/>
                <w:lang w:eastAsia="ko-KR"/>
              </w:rPr>
              <w:t xml:space="preserve">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w:t>
            </w:r>
            <w:proofErr w:type="gramStart"/>
            <w:r>
              <w:t>an</w:t>
            </w:r>
            <w:proofErr w:type="gramEnd"/>
            <w:r>
              <w:t xml:space="preserve"> LS to RAN2 as RAN2 will decide whether SIB1 and other SI messages for </w:t>
            </w:r>
            <w:proofErr w:type="spellStart"/>
            <w:r>
              <w:lastRenderedPageBreak/>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lastRenderedPageBreak/>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It is necessary for the above further study for supporting use of a DL BWP</w:t>
            </w:r>
            <w:proofErr w:type="gramStart"/>
            <w:r>
              <w:t>….However</w:t>
            </w:r>
            <w:proofErr w:type="gramEnd"/>
            <w:r>
              <w:t xml:space="preserve">,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lastRenderedPageBreak/>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w:t>
            </w:r>
            <w:proofErr w:type="gramStart"/>
            <w:r w:rsidR="004C421F">
              <w:rPr>
                <w:color w:val="00B0F0"/>
              </w:rPr>
              <w:t>an</w:t>
            </w:r>
            <w:proofErr w:type="gramEnd"/>
            <w:r w:rsidR="004C421F">
              <w:rPr>
                <w:color w:val="00B0F0"/>
              </w:rPr>
              <w:t xml:space="preserve">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0F47CC">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0F47CC">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0F47CC">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r>
              <w:lastRenderedPageBreak/>
              <w:t>Convida</w:t>
            </w:r>
          </w:p>
        </w:tc>
        <w:tc>
          <w:tcPr>
            <w:tcW w:w="6801" w:type="dxa"/>
          </w:tcPr>
          <w:p w14:paraId="37AB1131" w14:textId="12B920A8" w:rsidR="00AF6BB4" w:rsidRDefault="00AF6BB4" w:rsidP="00137E33">
            <w:r>
              <w:t>Okay</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bookmarkStart w:id="2" w:name="_GoBack"/>
      <w:bookmarkEnd w:id="2"/>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proofErr w:type="gramStart"/>
            <w:r>
              <w:t>sufficient</w:t>
            </w:r>
            <w:proofErr w:type="gramEnd"/>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lastRenderedPageBreak/>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proofErr w:type="gramStart"/>
            <w:r>
              <w:rPr>
                <w:rFonts w:hint="eastAsia"/>
              </w:rPr>
              <w:t>discussion,we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 xml:space="preserve">Suggest </w:t>
            </w:r>
            <w:proofErr w:type="gramStart"/>
            <w:r>
              <w:t>to modify</w:t>
            </w:r>
            <w:proofErr w:type="gramEnd"/>
            <w:r>
              <w:t xml:space="preserve">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xml:space="preserve">, it should first </w:t>
            </w:r>
            <w:proofErr w:type="gramStart"/>
            <w:r>
              <w:rPr>
                <w:rFonts w:eastAsia="Malgun Gothic"/>
                <w:lang w:eastAsia="ko-KR"/>
              </w:rPr>
              <w:t>discussed</w:t>
            </w:r>
            <w:proofErr w:type="gramEnd"/>
            <w:r>
              <w:rPr>
                <w:rFonts w:eastAsia="Malgun Gothic"/>
                <w:lang w:eastAsia="ko-KR"/>
              </w:rPr>
              <w:t xml:space="preserve">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lastRenderedPageBreak/>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0F47CC">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0F47CC">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w:t>
            </w:r>
            <w:proofErr w:type="spellStart"/>
            <w:r w:rsidRPr="00276C0A">
              <w:rPr>
                <w:i/>
                <w:iCs/>
                <w:strike/>
              </w:rPr>
              <w:t>RedCap</w:t>
            </w:r>
            <w:proofErr w:type="spellEnd"/>
            <w:r w:rsidRPr="00276C0A">
              <w:rPr>
                <w:i/>
                <w:iCs/>
                <w:strike/>
              </w:rPr>
              <w:t xml:space="preserve"> UEs)</w:t>
            </w:r>
            <w:r>
              <w:rPr>
                <w:i/>
                <w:iCs/>
              </w:rPr>
              <w:t>.</w:t>
            </w:r>
          </w:p>
        </w:tc>
      </w:tr>
      <w:tr w:rsidR="0069770C" w:rsidRPr="00276C0A" w14:paraId="64C73C47" w14:textId="77777777" w:rsidTr="00B07456">
        <w:tc>
          <w:tcPr>
            <w:tcW w:w="1480" w:type="dxa"/>
          </w:tcPr>
          <w:p w14:paraId="0423DE09" w14:textId="4F4CB485" w:rsidR="0069770C" w:rsidRDefault="0069770C" w:rsidP="000F47CC">
            <w:pPr>
              <w:rPr>
                <w:rFonts w:eastAsiaTheme="minorEastAsia"/>
              </w:rPr>
            </w:pPr>
            <w:r>
              <w:rPr>
                <w:rFonts w:eastAsiaTheme="minorEastAsia"/>
              </w:rPr>
              <w:t>Nokia</w:t>
            </w:r>
          </w:p>
        </w:tc>
        <w:tc>
          <w:tcPr>
            <w:tcW w:w="6801" w:type="dxa"/>
          </w:tcPr>
          <w:p w14:paraId="16FB86F1" w14:textId="77777777" w:rsidR="0069770C" w:rsidRDefault="0069770C" w:rsidP="000F47CC">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0F47CC">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 xml:space="preserve">should </w:t>
            </w:r>
            <w:r w:rsidR="001F4498">
              <w:rPr>
                <w:rFonts w:eastAsiaTheme="minorEastAsia"/>
              </w:rPr>
              <w:lastRenderedPageBreak/>
              <w:t>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0F47CC">
            <w:pPr>
              <w:rPr>
                <w:rFonts w:eastAsiaTheme="minorEastAsia"/>
              </w:rPr>
            </w:pPr>
            <w:r>
              <w:rPr>
                <w:rFonts w:eastAsiaTheme="minorEastAsia"/>
              </w:rPr>
              <w:lastRenderedPageBreak/>
              <w:t>Ericsson</w:t>
            </w:r>
          </w:p>
        </w:tc>
        <w:tc>
          <w:tcPr>
            <w:tcW w:w="6801" w:type="dxa"/>
          </w:tcPr>
          <w:p w14:paraId="175A97C1" w14:textId="2D9DC13A" w:rsidR="00373D54" w:rsidRPr="00EE0E8F" w:rsidRDefault="00373D54" w:rsidP="000F47CC">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0F47CC">
            <w:pPr>
              <w:rPr>
                <w:rFonts w:eastAsiaTheme="minorEastAsia"/>
              </w:rPr>
            </w:pPr>
            <w:r>
              <w:rPr>
                <w:rFonts w:eastAsiaTheme="minorEastAsia"/>
              </w:rPr>
              <w:t>Convida</w:t>
            </w:r>
          </w:p>
        </w:tc>
        <w:tc>
          <w:tcPr>
            <w:tcW w:w="6801" w:type="dxa"/>
          </w:tcPr>
          <w:p w14:paraId="3111925F" w14:textId="778E017C" w:rsidR="00A16166" w:rsidRDefault="00A16166" w:rsidP="000F47CC">
            <w:r>
              <w:t>Agree</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lastRenderedPageBreak/>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proofErr w:type="gramStart"/>
            <w:r>
              <w:t>First of all</w:t>
            </w:r>
            <w:proofErr w:type="gramEnd"/>
            <w:r>
              <w:t>,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proofErr w:type="gramStart"/>
            <w:r>
              <w:rPr>
                <w:rFonts w:hint="eastAsia"/>
              </w:rPr>
              <w:t>discussion,we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xml:space="preserve">, thus suggest </w:t>
            </w:r>
            <w:proofErr w:type="gramStart"/>
            <w:r w:rsidRPr="00AE1E25">
              <w:t>to change</w:t>
            </w:r>
            <w:proofErr w:type="gramEnd"/>
            <w:r w:rsidRPr="00AE1E25">
              <w:t xml:space="preserv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w:t>
            </w:r>
            <w:proofErr w:type="gramStart"/>
            <w:r>
              <w:t>“ should</w:t>
            </w:r>
            <w:proofErr w:type="gramEnd"/>
            <w:r>
              <w:t xml:space="preserve">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w:t>
            </w:r>
            <w:proofErr w:type="gramStart"/>
            <w:r>
              <w:t>to include</w:t>
            </w:r>
            <w:proofErr w:type="gramEnd"/>
            <w:r>
              <w:t xml:space="preserv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lastRenderedPageBreak/>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w:t>
            </w:r>
            <w:proofErr w:type="gramStart"/>
            <w:r>
              <w:t>definitely RAN1</w:t>
            </w:r>
            <w:proofErr w:type="gramEnd"/>
            <w:r>
              <w:t xml:space="preserve">. Option 2/3 may be more MAC-related. </w:t>
            </w:r>
            <w:proofErr w:type="gramStart"/>
            <w:r>
              <w:t>Generally speaking, RAN1</w:t>
            </w:r>
            <w:proofErr w:type="gramEnd"/>
            <w:r>
              <w:t xml:space="preserve">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w:t>
            </w:r>
            <w:proofErr w:type="gramStart"/>
            <w:r w:rsidR="005F0969">
              <w:rPr>
                <w:color w:val="00B0F0"/>
              </w:rPr>
              <w:t>RACH, and</w:t>
            </w:r>
            <w:proofErr w:type="gramEnd"/>
            <w:r w:rsidR="005F0969">
              <w:rPr>
                <w:color w:val="00B0F0"/>
              </w:rPr>
              <w:t xml:space="preserve"> included in Updated FL Proposal 5.</w:t>
            </w:r>
          </w:p>
        </w:tc>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lastRenderedPageBreak/>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0F47CC">
            <w:pPr>
              <w:rPr>
                <w:rFonts w:eastAsia="Malgun Gothic"/>
                <w:lang w:eastAsia="ko-KR"/>
              </w:rPr>
            </w:pPr>
            <w:r>
              <w:rPr>
                <w:rFonts w:eastAsiaTheme="minorEastAsia"/>
              </w:rPr>
              <w:t>Y</w:t>
            </w:r>
          </w:p>
        </w:tc>
        <w:tc>
          <w:tcPr>
            <w:tcW w:w="6971" w:type="dxa"/>
          </w:tcPr>
          <w:p w14:paraId="35978FFF" w14:textId="77777777" w:rsidR="00B07456" w:rsidRPr="001D46EE" w:rsidRDefault="00B07456" w:rsidP="000F47CC">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r w:rsidR="00056B43" w:rsidRPr="001D46EE" w14:paraId="4875D3B2" w14:textId="77777777" w:rsidTr="00B07456">
        <w:tc>
          <w:tcPr>
            <w:tcW w:w="1388" w:type="dxa"/>
          </w:tcPr>
          <w:p w14:paraId="46713B76" w14:textId="76A22752" w:rsidR="00056B43" w:rsidRDefault="00056B43" w:rsidP="000E4972">
            <w:pPr>
              <w:rPr>
                <w:rFonts w:eastAsiaTheme="minorEastAsia"/>
              </w:rPr>
            </w:pPr>
            <w:r>
              <w:rPr>
                <w:rFonts w:eastAsiaTheme="minorEastAsia"/>
              </w:rPr>
              <w:t>Nokia</w:t>
            </w:r>
          </w:p>
        </w:tc>
        <w:tc>
          <w:tcPr>
            <w:tcW w:w="1272" w:type="dxa"/>
          </w:tcPr>
          <w:p w14:paraId="0102FE14" w14:textId="45CB7225" w:rsidR="00056B43" w:rsidRDefault="00056B43" w:rsidP="000E4972">
            <w:pPr>
              <w:rPr>
                <w:rFonts w:eastAsiaTheme="minorEastAsia"/>
              </w:rPr>
            </w:pPr>
            <w:r>
              <w:rPr>
                <w:rFonts w:eastAsiaTheme="minorEastAsia"/>
              </w:rPr>
              <w:t>Y</w:t>
            </w:r>
          </w:p>
        </w:tc>
        <w:tc>
          <w:tcPr>
            <w:tcW w:w="6971" w:type="dxa"/>
          </w:tcPr>
          <w:p w14:paraId="6ADA016E" w14:textId="5638D473" w:rsidR="00056B43" w:rsidRDefault="00867832" w:rsidP="000E4972">
            <w:pPr>
              <w:rPr>
                <w:rFonts w:eastAsiaTheme="minorEastAsia"/>
                <w:bCs/>
              </w:rPr>
            </w:pPr>
            <w:r>
              <w:rPr>
                <w:rFonts w:eastAsiaTheme="minorEastAsia"/>
                <w:bCs/>
              </w:rPr>
              <w:t>See Nokia previous comment about LS to RAN2.</w:t>
            </w:r>
          </w:p>
        </w:tc>
      </w:tr>
      <w:tr w:rsidR="0051568D" w:rsidRPr="001D46EE" w14:paraId="2F1AAE01" w14:textId="77777777" w:rsidTr="00B07456">
        <w:tc>
          <w:tcPr>
            <w:tcW w:w="1388" w:type="dxa"/>
          </w:tcPr>
          <w:p w14:paraId="171BFA53" w14:textId="717A205F" w:rsidR="0051568D" w:rsidRDefault="0051568D" w:rsidP="000E4972">
            <w:pPr>
              <w:rPr>
                <w:rFonts w:eastAsiaTheme="minorEastAsia"/>
              </w:rPr>
            </w:pPr>
            <w:r>
              <w:rPr>
                <w:rFonts w:eastAsiaTheme="minorEastAsia"/>
              </w:rPr>
              <w:t>Ericsson</w:t>
            </w:r>
          </w:p>
        </w:tc>
        <w:tc>
          <w:tcPr>
            <w:tcW w:w="1272" w:type="dxa"/>
          </w:tcPr>
          <w:p w14:paraId="275EF7E1" w14:textId="7538CE53" w:rsidR="0051568D" w:rsidRDefault="0051568D" w:rsidP="000E4972">
            <w:pPr>
              <w:rPr>
                <w:rFonts w:eastAsiaTheme="minorEastAsia"/>
              </w:rPr>
            </w:pPr>
            <w:r>
              <w:rPr>
                <w:rFonts w:eastAsiaTheme="minorEastAsia"/>
              </w:rPr>
              <w:t>Y</w:t>
            </w:r>
          </w:p>
        </w:tc>
        <w:tc>
          <w:tcPr>
            <w:tcW w:w="6971" w:type="dxa"/>
          </w:tcPr>
          <w:p w14:paraId="01582F49" w14:textId="77777777" w:rsidR="0051568D" w:rsidRDefault="0051568D" w:rsidP="000E4972">
            <w:pPr>
              <w:rPr>
                <w:rFonts w:eastAsiaTheme="minorEastAsia"/>
                <w:bCs/>
              </w:rPr>
            </w:pPr>
          </w:p>
        </w:tc>
      </w:tr>
      <w:tr w:rsidR="00DC7E13" w:rsidRPr="001D46EE" w14:paraId="0EEE15F9" w14:textId="77777777" w:rsidTr="00B07456">
        <w:tc>
          <w:tcPr>
            <w:tcW w:w="1388" w:type="dxa"/>
          </w:tcPr>
          <w:p w14:paraId="793216A8" w14:textId="010DE0DF" w:rsidR="00DC7E13" w:rsidRDefault="00DC7E13" w:rsidP="000E4972">
            <w:pPr>
              <w:rPr>
                <w:rFonts w:eastAsiaTheme="minorEastAsia"/>
              </w:rPr>
            </w:pPr>
            <w:r>
              <w:rPr>
                <w:rFonts w:eastAsiaTheme="minorEastAsia"/>
              </w:rPr>
              <w:t>Convida</w:t>
            </w:r>
          </w:p>
        </w:tc>
        <w:tc>
          <w:tcPr>
            <w:tcW w:w="1272" w:type="dxa"/>
          </w:tcPr>
          <w:p w14:paraId="119C18A8" w14:textId="0C788D67" w:rsidR="00DC7E13" w:rsidRDefault="00DC7E13" w:rsidP="000E4972">
            <w:pPr>
              <w:rPr>
                <w:rFonts w:eastAsiaTheme="minorEastAsia"/>
              </w:rPr>
            </w:pPr>
            <w:r>
              <w:rPr>
                <w:rFonts w:eastAsiaTheme="minorEastAsia"/>
              </w:rPr>
              <w:t>Y</w:t>
            </w:r>
          </w:p>
        </w:tc>
        <w:tc>
          <w:tcPr>
            <w:tcW w:w="6971" w:type="dxa"/>
          </w:tcPr>
          <w:p w14:paraId="2C6A8E9E" w14:textId="47FE48C5" w:rsidR="00DC7E13" w:rsidRDefault="000F103F" w:rsidP="000E4972">
            <w:pPr>
              <w:rPr>
                <w:rFonts w:eastAsiaTheme="minorEastAsia"/>
                <w:bCs/>
              </w:rPr>
            </w:pPr>
            <w:r>
              <w:rPr>
                <w:rFonts w:eastAsiaTheme="minorEastAsia"/>
                <w:bCs/>
              </w:rPr>
              <w:t xml:space="preserve">We suggest to further clarify that the indication </w:t>
            </w:r>
            <w:bookmarkStart w:id="4" w:name="_Hlk49178106"/>
            <w:r>
              <w:rPr>
                <w:rFonts w:eastAsiaTheme="minorEastAsia"/>
                <w:bCs/>
              </w:rPr>
              <w:t xml:space="preserve">of reduced capability UEs </w:t>
            </w:r>
            <w:bookmarkEnd w:id="4"/>
            <w:r>
              <w:rPr>
                <w:rFonts w:eastAsiaTheme="minorEastAsia"/>
                <w:bCs/>
              </w:rPr>
              <w:t xml:space="preserve">can be realized </w:t>
            </w:r>
            <w:bookmarkStart w:id="5"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5"/>
            <w:r>
              <w:rPr>
                <w:rFonts w:eastAsiaTheme="minorEastAsia"/>
                <w:bCs/>
              </w:rPr>
              <w:t>.</w:t>
            </w: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 xml:space="preserve">e agree RRM relaxation can be first studies in RAN2. The number of </w:t>
            </w:r>
            <w:proofErr w:type="gramStart"/>
            <w:r>
              <w:rPr>
                <w:rFonts w:eastAsia="MS Mincho"/>
                <w:lang w:eastAsia="ja-JP"/>
              </w:rPr>
              <w:t>antenna</w:t>
            </w:r>
            <w:proofErr w:type="gramEnd"/>
            <w:r>
              <w:rPr>
                <w:rFonts w:eastAsia="MS Mincho"/>
                <w:lang w:eastAsia="ja-JP"/>
              </w:rPr>
              <w:t xml:space="preserve">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proofErr w:type="spellStart"/>
            <w:r>
              <w:rPr>
                <w:rFonts w:hint="eastAsia"/>
              </w:rPr>
              <w:t>S</w:t>
            </w:r>
            <w:r>
              <w:t>preadtrum</w:t>
            </w:r>
            <w:proofErr w:type="spellEnd"/>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lastRenderedPageBreak/>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0F47CC">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0F47CC">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0F47CC">
            <w:pPr>
              <w:rPr>
                <w:rFonts w:eastAsiaTheme="minorEastAsia"/>
              </w:rPr>
            </w:pPr>
            <w:r>
              <w:rPr>
                <w:rFonts w:eastAsiaTheme="minorEastAsia"/>
              </w:rPr>
              <w:t>Nokia</w:t>
            </w:r>
          </w:p>
        </w:tc>
        <w:tc>
          <w:tcPr>
            <w:tcW w:w="6801" w:type="dxa"/>
          </w:tcPr>
          <w:p w14:paraId="6EFBBD6F" w14:textId="0709EBFD" w:rsidR="00A57A40" w:rsidRDefault="00A57A40" w:rsidP="000F47CC">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0F47CC">
            <w:pPr>
              <w:rPr>
                <w:rFonts w:eastAsiaTheme="minorEastAsia"/>
              </w:rPr>
            </w:pPr>
            <w:r>
              <w:rPr>
                <w:rFonts w:eastAsiaTheme="minorEastAsia"/>
              </w:rPr>
              <w:t>Ericsson</w:t>
            </w:r>
          </w:p>
        </w:tc>
        <w:tc>
          <w:tcPr>
            <w:tcW w:w="6801" w:type="dxa"/>
          </w:tcPr>
          <w:p w14:paraId="3FB2752E" w14:textId="01C6DC24" w:rsidR="00F50E7F" w:rsidRPr="00A57A40" w:rsidRDefault="00F50E7F" w:rsidP="000F47CC">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0F47CC">
            <w:pPr>
              <w:rPr>
                <w:rFonts w:eastAsiaTheme="minorEastAsia"/>
              </w:rPr>
            </w:pPr>
            <w:r>
              <w:rPr>
                <w:rFonts w:eastAsiaTheme="minorEastAsia"/>
              </w:rPr>
              <w:t>Convida</w:t>
            </w:r>
          </w:p>
        </w:tc>
        <w:tc>
          <w:tcPr>
            <w:tcW w:w="6801" w:type="dxa"/>
          </w:tcPr>
          <w:p w14:paraId="47E6AC48" w14:textId="23F63342" w:rsidR="009F77D0" w:rsidRDefault="009F77D0" w:rsidP="000F47CC">
            <w:pPr>
              <w:rPr>
                <w:rFonts w:eastAsiaTheme="minorEastAsia"/>
              </w:rPr>
            </w:pPr>
            <w:r>
              <w:rPr>
                <w:rFonts w:eastAsiaTheme="minorEastAsia"/>
              </w:rPr>
              <w:t xml:space="preserve">Okay </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w:t>
      </w:r>
      <w:proofErr w:type="gramStart"/>
      <w:r>
        <w:t>types, and</w:t>
      </w:r>
      <w:proofErr w:type="gramEnd"/>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 xml:space="preserve">R1-2005238, Identification and access restriction for </w:t>
      </w:r>
      <w:proofErr w:type="spellStart"/>
      <w:r>
        <w:t>RedCap</w:t>
      </w:r>
      <w:proofErr w:type="spellEnd"/>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 xml:space="preserve">R1-2005960, CBW for </w:t>
      </w:r>
      <w:proofErr w:type="spellStart"/>
      <w:r>
        <w:t>RedCap</w:t>
      </w:r>
      <w:proofErr w:type="spellEnd"/>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977D1D"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977D1D"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977D1D"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lastRenderedPageBreak/>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977D1D"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w:t>
            </w:r>
            <w:proofErr w:type="gramStart"/>
            <w:r w:rsidRPr="00563B56">
              <w:rPr>
                <w:bCs/>
                <w:i/>
                <w:iCs/>
              </w:rPr>
              <w:t>is allowed to</w:t>
            </w:r>
            <w:proofErr w:type="gramEnd"/>
            <w:r w:rsidRPr="00563B56">
              <w:rPr>
                <w:bCs/>
                <w:i/>
                <w:iCs/>
              </w:rPr>
              <w:t xml:space="preserve">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w:t>
            </w:r>
            <w:proofErr w:type="gramStart"/>
            <w:r w:rsidRPr="00563B56">
              <w:rPr>
                <w:bCs/>
                <w:i/>
                <w:iCs/>
              </w:rPr>
              <w:t>by definition of</w:t>
            </w:r>
            <w:proofErr w:type="gramEnd"/>
            <w:r w:rsidRPr="00563B56">
              <w:rPr>
                <w:bCs/>
                <w:i/>
                <w:iCs/>
              </w:rPr>
              <w:t xml:space="preserve">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977D1D"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977D1D"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977D1D"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 xml:space="preserve">Observation 3: Support of REDCAP UEs in a cell may impact SIB1 size e.g. for cell access control/restriction and </w:t>
            </w:r>
            <w:r w:rsidRPr="00563B56">
              <w:rPr>
                <w:bCs/>
                <w:i/>
                <w:iCs/>
              </w:rPr>
              <w:lastRenderedPageBreak/>
              <w:t>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977D1D"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977D1D"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977D1D"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w:t>
            </w:r>
            <w:proofErr w:type="gramStart"/>
            <w:r w:rsidRPr="003B7BBB">
              <w:rPr>
                <w:bCs/>
                <w:i/>
                <w:iCs/>
              </w:rPr>
              <w:t>is</w:t>
            </w:r>
            <w:proofErr w:type="gramEnd"/>
            <w:r w:rsidRPr="003B7BBB">
              <w:rPr>
                <w:bCs/>
                <w:i/>
                <w:iCs/>
              </w:rPr>
              <w:t xml:space="preserve">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w:t>
            </w:r>
            <w:proofErr w:type="gramStart"/>
            <w:r w:rsidRPr="003B7BBB">
              <w:rPr>
                <w:bCs/>
                <w:i/>
                <w:iCs/>
              </w:rPr>
              <w:t>UEs  for</w:t>
            </w:r>
            <w:proofErr w:type="gramEnd"/>
            <w:r w:rsidRPr="003B7BBB">
              <w:rPr>
                <w:bCs/>
                <w:i/>
                <w:iCs/>
              </w:rPr>
              <w:t xml:space="preserve">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w:t>
            </w:r>
            <w:proofErr w:type="gramStart"/>
            <w:r w:rsidRPr="003B7BBB">
              <w:rPr>
                <w:bCs/>
                <w:i/>
                <w:iCs/>
              </w:rPr>
              <w:t>UEs  for</w:t>
            </w:r>
            <w:proofErr w:type="gramEnd"/>
            <w:r w:rsidRPr="003B7BBB">
              <w:rPr>
                <w:bCs/>
                <w:i/>
                <w:iCs/>
              </w:rPr>
              <w:t xml:space="preserve"> high-end wearable and high-end video Surveillance use cases</w:t>
            </w:r>
          </w:p>
          <w:p w14:paraId="3EE03A9A" w14:textId="77777777" w:rsidR="00D64E14" w:rsidRPr="003B7BBB" w:rsidRDefault="00D64E14" w:rsidP="003B7BBB">
            <w:pPr>
              <w:rPr>
                <w:bCs/>
                <w:i/>
                <w:iCs/>
              </w:rPr>
            </w:pPr>
            <w:r w:rsidRPr="003B7BBB">
              <w:rPr>
                <w:bCs/>
                <w:i/>
                <w:iCs/>
              </w:rPr>
              <w:lastRenderedPageBreak/>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977D1D"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lastRenderedPageBreak/>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977D1D"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977D1D"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977D1D"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w:t>
            </w:r>
            <w:proofErr w:type="gramStart"/>
            <w:r w:rsidRPr="00C50AAB">
              <w:rPr>
                <w:bCs/>
                <w:i/>
                <w:iCs/>
              </w:rPr>
              <w:t>particular device</w:t>
            </w:r>
            <w:proofErr w:type="gramEnd"/>
            <w:r w:rsidRPr="00C50AAB">
              <w:rPr>
                <w:bCs/>
                <w:i/>
                <w:iCs/>
              </w:rPr>
              <w:t xml:space="preserv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w:t>
            </w:r>
            <w:proofErr w:type="gramStart"/>
            <w:r w:rsidRPr="00C50AAB">
              <w:rPr>
                <w:bCs/>
                <w:i/>
                <w:iCs/>
              </w:rPr>
              <w:t>and also</w:t>
            </w:r>
            <w:proofErr w:type="gramEnd"/>
            <w:r w:rsidRPr="00C50AAB">
              <w:rPr>
                <w:bCs/>
                <w:i/>
                <w:iCs/>
              </w:rPr>
              <w:t xml:space="preserve">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lastRenderedPageBreak/>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977D1D"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977D1D"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977D1D"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lastRenderedPageBreak/>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ListParagraph"/>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977D1D"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977D1D"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0C55" w14:textId="77777777" w:rsidR="00977D1D" w:rsidRDefault="00977D1D" w:rsidP="004C0876">
      <w:pPr>
        <w:spacing w:after="0"/>
      </w:pPr>
      <w:r>
        <w:separator/>
      </w:r>
    </w:p>
  </w:endnote>
  <w:endnote w:type="continuationSeparator" w:id="0">
    <w:p w14:paraId="173A40F5" w14:textId="77777777" w:rsidR="00977D1D" w:rsidRDefault="00977D1D"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204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043">
              <w:rPr>
                <w:b/>
                <w:bCs/>
                <w:noProof/>
              </w:rPr>
              <w:t>25</w:t>
            </w:r>
            <w:r>
              <w:rPr>
                <w:b/>
                <w:bCs/>
                <w:sz w:val="24"/>
                <w:szCs w:val="24"/>
              </w:rPr>
              <w:fldChar w:fldCharType="end"/>
            </w:r>
          </w:p>
        </w:sdtContent>
      </w:sdt>
    </w:sdtContent>
  </w:sdt>
  <w:p w14:paraId="7586F307" w14:textId="77777777" w:rsidR="008A63E3" w:rsidRDefault="008A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9F14" w14:textId="77777777" w:rsidR="00977D1D" w:rsidRDefault="00977D1D" w:rsidP="004C0876">
      <w:pPr>
        <w:spacing w:after="0"/>
      </w:pPr>
      <w:r>
        <w:separator/>
      </w:r>
    </w:p>
  </w:footnote>
  <w:footnote w:type="continuationSeparator" w:id="0">
    <w:p w14:paraId="162C3EC4" w14:textId="77777777" w:rsidR="00977D1D" w:rsidRDefault="00977D1D"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5AEA"/>
    <w:rsid w:val="00F47D59"/>
    <w:rsid w:val="00F47FF2"/>
    <w:rsid w:val="00F504DA"/>
    <w:rsid w:val="00F50853"/>
    <w:rsid w:val="00F50E7F"/>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3C000-F00A-49AE-8C22-61660406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10001</Words>
  <Characters>57006</Characters>
  <Application>Microsoft Office Word</Application>
  <DocSecurity>0</DocSecurity>
  <Lines>475</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Mohamed Awadin</cp:lastModifiedBy>
  <cp:revision>48</cp:revision>
  <dcterms:created xsi:type="dcterms:W3CDTF">2020-08-24T12:58:00Z</dcterms:created>
  <dcterms:modified xsi:type="dcterms:W3CDTF">2020-08-24T20:42:00Z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