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ListParagraph"/>
              <w:numPr>
                <w:ilvl w:val="0"/>
                <w:numId w:val="5"/>
              </w:numPr>
              <w:rPr>
                <w:color w:val="00B0F0"/>
              </w:rPr>
            </w:pPr>
            <w:r w:rsidRPr="00E75C7B">
              <w:rPr>
                <w:color w:val="00B0F0"/>
              </w:rPr>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ListParagraph"/>
              <w:numPr>
                <w:ilvl w:val="0"/>
                <w:numId w:val="5"/>
              </w:numPr>
              <w:rPr>
                <w:color w:val="00B0F0"/>
              </w:rPr>
            </w:pPr>
            <w:r>
              <w:rPr>
                <w:color w:val="00B0F0"/>
              </w:rPr>
              <w:lastRenderedPageBreak/>
              <w:t>One company would like to focus only on options that have RAN1 impact.</w:t>
            </w:r>
          </w:p>
          <w:p w14:paraId="3BE43137" w14:textId="77777777" w:rsidR="00283379" w:rsidRDefault="00283379" w:rsidP="00B02EF7">
            <w:pPr>
              <w:pStyle w:val="ListParagraph"/>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ListParagraph"/>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ListParagraph"/>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Heading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ListParagraph"/>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ListParagraph"/>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ListParagraph"/>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ListParagraph"/>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ListParagraph"/>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ListParagraph"/>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ListParagraph"/>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ListParagraph"/>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TableGrid"/>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280358" w:rsidRPr="001D46EE" w14:paraId="78E29CFD" w14:textId="77777777" w:rsidTr="00854E5F">
        <w:tc>
          <w:tcPr>
            <w:tcW w:w="1388" w:type="dxa"/>
            <w:shd w:val="clear" w:color="auto" w:fill="auto"/>
          </w:tcPr>
          <w:p w14:paraId="60D6C5CF" w14:textId="4BAA9232" w:rsidR="00280358" w:rsidRPr="00D15372" w:rsidRDefault="00280358" w:rsidP="00854E5F">
            <w:pPr>
              <w:rPr>
                <w:rFonts w:eastAsia="Malgun Gothic"/>
                <w:lang w:eastAsia="ko-KR"/>
              </w:rPr>
            </w:pPr>
          </w:p>
        </w:tc>
        <w:tc>
          <w:tcPr>
            <w:tcW w:w="1272" w:type="dxa"/>
            <w:shd w:val="clear" w:color="auto" w:fill="auto"/>
          </w:tcPr>
          <w:p w14:paraId="2A6F8120" w14:textId="70641C9C" w:rsidR="00280358" w:rsidRPr="00D15372" w:rsidRDefault="00280358" w:rsidP="00854E5F">
            <w:pPr>
              <w:rPr>
                <w:rFonts w:eastAsia="Malgun Gothic"/>
                <w:lang w:eastAsia="ko-KR"/>
              </w:rPr>
            </w:pPr>
          </w:p>
        </w:tc>
        <w:tc>
          <w:tcPr>
            <w:tcW w:w="6971" w:type="dxa"/>
            <w:shd w:val="clear" w:color="auto" w:fill="auto"/>
          </w:tcPr>
          <w:p w14:paraId="7A17AA06" w14:textId="1CAB3D87" w:rsidR="00280358" w:rsidRPr="001D46EE" w:rsidRDefault="00280358" w:rsidP="00854E5F">
            <w:pPr>
              <w:rPr>
                <w:rFonts w:eastAsia="Malgun Gothic"/>
                <w:b/>
                <w:bCs/>
                <w:lang w:eastAsia="ko-KR"/>
              </w:rPr>
            </w:pPr>
          </w:p>
        </w:tc>
      </w:tr>
    </w:tbl>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lastRenderedPageBreak/>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lastRenderedPageBreak/>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lastRenderedPageBreak/>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t>Futurewei</w:t>
            </w:r>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ListParagraph"/>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ListParagraph"/>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ListParagraph"/>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lastRenderedPageBreak/>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Heading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ListParagraph"/>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TableGrid"/>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C7607B" w:rsidRPr="00D15372" w14:paraId="49737EE9" w14:textId="77777777" w:rsidTr="00C7607B">
        <w:tc>
          <w:tcPr>
            <w:tcW w:w="1480" w:type="dxa"/>
            <w:shd w:val="clear" w:color="auto" w:fill="auto"/>
          </w:tcPr>
          <w:p w14:paraId="01BAE07D" w14:textId="790D77B7" w:rsidR="00C7607B" w:rsidRPr="00D15372" w:rsidRDefault="00C7607B" w:rsidP="00854E5F">
            <w:pPr>
              <w:rPr>
                <w:rFonts w:eastAsia="Malgun Gothic"/>
                <w:lang w:eastAsia="ko-KR"/>
              </w:rPr>
            </w:pPr>
          </w:p>
        </w:tc>
        <w:tc>
          <w:tcPr>
            <w:tcW w:w="6801" w:type="dxa"/>
            <w:shd w:val="clear" w:color="auto" w:fill="auto"/>
          </w:tcPr>
          <w:p w14:paraId="1585CF6E" w14:textId="1F638F7D" w:rsidR="00C7607B" w:rsidRPr="00D15372" w:rsidRDefault="00C7607B" w:rsidP="00854E5F">
            <w:pPr>
              <w:rPr>
                <w:rFonts w:eastAsia="Malgun Gothic"/>
                <w:lang w:eastAsia="ko-KR"/>
              </w:rPr>
            </w:pP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Heading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lastRenderedPageBreak/>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lastRenderedPageBreak/>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ListParagraph"/>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ListParagraph"/>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Huawei/HiSi</w:t>
            </w:r>
            <w:r w:rsidR="001A66CF">
              <w:rPr>
                <w:color w:val="00B0F0"/>
              </w:rPr>
              <w:t>.</w:t>
            </w:r>
          </w:p>
        </w:tc>
      </w:tr>
    </w:tbl>
    <w:p w14:paraId="1558096C" w14:textId="11940614" w:rsidR="00AB3EF6" w:rsidRDefault="00AB3EF6" w:rsidP="001E4D8E"/>
    <w:p w14:paraId="56093283" w14:textId="6E4E4A5B" w:rsidR="00671DC7" w:rsidRDefault="00671DC7" w:rsidP="00671DC7">
      <w:pPr>
        <w:pStyle w:val="Heading2"/>
      </w:pPr>
      <w:r>
        <w:lastRenderedPageBreak/>
        <w:t xml:space="preserve">         </w:t>
      </w:r>
      <w:r w:rsidR="0035582A" w:rsidRPr="0035582A">
        <w:rPr>
          <w:highlight w:val="yellow"/>
        </w:rPr>
        <w:t>Proposed Conclusion 2</w:t>
      </w:r>
    </w:p>
    <w:p w14:paraId="4BAA3C69" w14:textId="1B2B6F43" w:rsidR="00671DC7" w:rsidRDefault="00371CFB" w:rsidP="00671DC7">
      <w:pPr>
        <w:pStyle w:val="ListParagraph"/>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TableGrid"/>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AA7B39" w:rsidRPr="00D15372" w14:paraId="765F9790" w14:textId="77777777" w:rsidTr="00AA7B39">
        <w:tc>
          <w:tcPr>
            <w:tcW w:w="1480" w:type="dxa"/>
            <w:shd w:val="clear" w:color="auto" w:fill="auto"/>
          </w:tcPr>
          <w:p w14:paraId="1D8525F0" w14:textId="0AC4F1CC" w:rsidR="00AA7B39" w:rsidRPr="00D15372" w:rsidRDefault="00AA7B39" w:rsidP="00854E5F">
            <w:pPr>
              <w:rPr>
                <w:rFonts w:eastAsia="Malgun Gothic"/>
                <w:lang w:eastAsia="ko-KR"/>
              </w:rPr>
            </w:pPr>
          </w:p>
        </w:tc>
        <w:tc>
          <w:tcPr>
            <w:tcW w:w="6801" w:type="dxa"/>
            <w:shd w:val="clear" w:color="auto" w:fill="auto"/>
          </w:tcPr>
          <w:p w14:paraId="4D635278" w14:textId="1CCD0B5A" w:rsidR="00AA7B39" w:rsidRPr="00D15372" w:rsidRDefault="00AA7B39" w:rsidP="00854E5F">
            <w:pPr>
              <w:rPr>
                <w:rFonts w:eastAsia="Malgun Gothic"/>
                <w:lang w:eastAsia="ko-KR"/>
              </w:rPr>
            </w:pPr>
          </w:p>
        </w:tc>
      </w:tr>
    </w:tbl>
    <w:p w14:paraId="1AA02C05" w14:textId="77777777" w:rsidR="00AA7B39" w:rsidRDefault="00AA7B39"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 xml:space="preserve">It would be good for RAN1 and/or RAN2 to analyze the pros and cons of these 3 </w:t>
            </w:r>
            <w:r>
              <w:lastRenderedPageBreak/>
              <w:t>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lastRenderedPageBreak/>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We support studying these three options. We also propose to study MsgA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ListParagraph"/>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ListParagraph"/>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ListParagraph"/>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5EBE8D73" w:rsidR="00015E9C" w:rsidRPr="00895EC9" w:rsidRDefault="002D164A" w:rsidP="00477FF6">
            <w:pPr>
              <w:rPr>
                <w:color w:val="00B0F0"/>
              </w:rPr>
            </w:pPr>
            <w:r>
              <w:rPr>
                <w:color w:val="00B0F0"/>
              </w:rPr>
              <w:t xml:space="preserve">Further, two companies proposed to suggest </w:t>
            </w:r>
            <w:r w:rsidR="00895EC9">
              <w:rPr>
                <w:color w:val="00B0F0"/>
              </w:rPr>
              <w:t>study MsgA for 2-step RACH as a candidate for indication of RedCap UEs.</w:t>
            </w:r>
            <w:r w:rsidR="00624273">
              <w:rPr>
                <w:color w:val="00B0F0"/>
              </w:rPr>
              <w:t xml:space="preserve"> However, given that 2-step RACH is an optional UE feature, and </w:t>
            </w:r>
            <w:r w:rsidR="00876135">
              <w:rPr>
                <w:color w:val="00B0F0"/>
              </w:rPr>
              <w:t xml:space="preserve">is likely to remain so for RedCap UEs as well, perhaps </w:t>
            </w:r>
            <w:r w:rsidR="000A6119">
              <w:rPr>
                <w:color w:val="00B0F0"/>
              </w:rPr>
              <w:t xml:space="preserve">we should focus on the </w:t>
            </w:r>
            <w:r w:rsidR="000A2096">
              <w:rPr>
                <w:color w:val="00B0F0"/>
              </w:rPr>
              <w:t>mandatory/basic RA procedure for our current purpose.</w:t>
            </w:r>
            <w:r w:rsidR="00D96FB0">
              <w:rPr>
                <w:color w:val="00B0F0"/>
              </w:rPr>
              <w:t xml:space="preserve"> </w:t>
            </w:r>
            <w:r w:rsidR="006F4BFF">
              <w:rPr>
                <w:color w:val="00B0F0"/>
              </w:rPr>
              <w:t xml:space="preserve">Having said so, as clarified in the updated proposal below, companies are free to </w:t>
            </w:r>
            <w:r w:rsidR="008A7755">
              <w:rPr>
                <w:color w:val="00B0F0"/>
              </w:rPr>
              <w:t xml:space="preserve">propose and demonstrate feasibility of any other mechanisms beyond the three listed options, and that could include MsgA for 2-step RACH. </w:t>
            </w:r>
          </w:p>
        </w:tc>
      </w:tr>
    </w:tbl>
    <w:p w14:paraId="307A77AF" w14:textId="4F2AF273" w:rsidR="00DA2679" w:rsidRDefault="00DA2679" w:rsidP="0092455E"/>
    <w:p w14:paraId="59248FF7" w14:textId="0491CD2A" w:rsidR="00477FF6" w:rsidRDefault="00477FF6" w:rsidP="00477FF6">
      <w:pPr>
        <w:pStyle w:val="Heading2"/>
      </w:pPr>
      <w:r>
        <w:lastRenderedPageBreak/>
        <w:t xml:space="preserve">         </w:t>
      </w:r>
      <w:r w:rsidRPr="00477FF6">
        <w:rPr>
          <w:highlight w:val="yellow"/>
        </w:rPr>
        <w:t>Updated FL Proposal 5</w:t>
      </w:r>
    </w:p>
    <w:p w14:paraId="11CBA902" w14:textId="38B51ED9" w:rsidR="00477FF6" w:rsidRPr="009B20D2" w:rsidRDefault="00477FF6" w:rsidP="00477FF6">
      <w:pPr>
        <w:pStyle w:val="ListParagraph"/>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ListParagraph"/>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ListParagraph"/>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bookmarkStart w:id="3" w:name="_GoBack"/>
      <w:bookmarkEnd w:id="3"/>
      <w:r w:rsidR="00E10655" w:rsidRPr="00E10655">
        <w:rPr>
          <w:i/>
          <w:iCs/>
          <w:color w:val="ED7D31" w:themeColor="accent2"/>
        </w:rPr>
        <w:t xml:space="preserve"> </w:t>
      </w:r>
    </w:p>
    <w:p w14:paraId="4BAEB49A" w14:textId="323B8BD5" w:rsidR="00477FF6" w:rsidRPr="00275359" w:rsidRDefault="00E10655" w:rsidP="00E10655">
      <w:pPr>
        <w:pStyle w:val="ListParagraph"/>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31704259" w14:textId="08A25AC3" w:rsidR="00275359" w:rsidRPr="00275359" w:rsidRDefault="00275359" w:rsidP="00275359">
      <w:pPr>
        <w:pStyle w:val="ListParagraph"/>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ListParagraph"/>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TableGrid"/>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477FF6" w:rsidRPr="001D46EE" w14:paraId="544BA902" w14:textId="77777777" w:rsidTr="00854E5F">
        <w:tc>
          <w:tcPr>
            <w:tcW w:w="1388" w:type="dxa"/>
            <w:shd w:val="clear" w:color="auto" w:fill="auto"/>
          </w:tcPr>
          <w:p w14:paraId="0B757548" w14:textId="77777777" w:rsidR="00477FF6" w:rsidRPr="00D15372" w:rsidRDefault="00477FF6" w:rsidP="00854E5F">
            <w:pPr>
              <w:rPr>
                <w:rFonts w:eastAsia="Malgun Gothic"/>
                <w:lang w:eastAsia="ko-KR"/>
              </w:rPr>
            </w:pPr>
          </w:p>
        </w:tc>
        <w:tc>
          <w:tcPr>
            <w:tcW w:w="1272" w:type="dxa"/>
            <w:shd w:val="clear" w:color="auto" w:fill="auto"/>
          </w:tcPr>
          <w:p w14:paraId="342100BB" w14:textId="77777777" w:rsidR="00477FF6" w:rsidRPr="00D15372" w:rsidRDefault="00477FF6" w:rsidP="00854E5F">
            <w:pPr>
              <w:rPr>
                <w:rFonts w:eastAsia="Malgun Gothic"/>
                <w:lang w:eastAsia="ko-KR"/>
              </w:rPr>
            </w:pPr>
          </w:p>
        </w:tc>
        <w:tc>
          <w:tcPr>
            <w:tcW w:w="6971" w:type="dxa"/>
            <w:shd w:val="clear" w:color="auto" w:fill="auto"/>
          </w:tcPr>
          <w:p w14:paraId="7125DAE6" w14:textId="77777777" w:rsidR="00477FF6" w:rsidRPr="001D46EE" w:rsidRDefault="00477FF6" w:rsidP="00854E5F">
            <w:pPr>
              <w:rPr>
                <w:rFonts w:eastAsia="Malgun Gothic"/>
                <w:b/>
                <w:bCs/>
                <w:lang w:eastAsia="ko-KR"/>
              </w:rPr>
            </w:pPr>
          </w:p>
        </w:tc>
      </w:tr>
    </w:tbl>
    <w:p w14:paraId="3DA40A1B" w14:textId="77777777" w:rsidR="00477FF6" w:rsidRPr="00CA3196" w:rsidRDefault="00477FF6"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lastRenderedPageBreak/>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429F9210" w:rsidR="00332800" w:rsidRDefault="00332800" w:rsidP="00332800"/>
    <w:tbl>
      <w:tblPr>
        <w:tblStyle w:val="TableGrid"/>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854E5F">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854E5F">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t xml:space="preserve">Huawei, </w:t>
            </w:r>
            <w:r>
              <w:rPr>
                <w:lang w:eastAsia="ko-KR"/>
              </w:rPr>
              <w:lastRenderedPageBreak/>
              <w:t>HiSilicon</w:t>
            </w:r>
          </w:p>
        </w:tc>
        <w:tc>
          <w:tcPr>
            <w:tcW w:w="1350" w:type="dxa"/>
            <w:shd w:val="clear" w:color="auto" w:fill="auto"/>
          </w:tcPr>
          <w:p w14:paraId="5B119CD9" w14:textId="77777777" w:rsidR="000924EA" w:rsidRDefault="000924EA" w:rsidP="00854E5F">
            <w:r>
              <w:rPr>
                <w:rFonts w:hint="eastAsia"/>
              </w:rPr>
              <w:lastRenderedPageBreak/>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r>
              <w:rPr>
                <w:rFonts w:hint="eastAsia"/>
              </w:rPr>
              <w:t>S</w:t>
            </w:r>
            <w:r>
              <w:t>preadtrum</w:t>
            </w:r>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854E5F">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r>
              <w:t>Futurewei</w:t>
            </w:r>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r>
              <w:t>Convida</w:t>
            </w:r>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 xml:space="preserve">All responses indicate that RAN1 can wait for RAN2 on introduction of E-DRx for RedCap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Heading2"/>
      </w:pPr>
      <w:r>
        <w:t xml:space="preserve">         </w:t>
      </w:r>
      <w:r w:rsidRPr="00CE07F2">
        <w:rPr>
          <w:highlight w:val="yellow"/>
        </w:rPr>
        <w:t xml:space="preserve">Proposed Conclusion </w:t>
      </w:r>
      <w:r w:rsidR="0035582A">
        <w:t>3</w:t>
      </w:r>
    </w:p>
    <w:p w14:paraId="06490B25" w14:textId="77777777" w:rsidR="000924EA" w:rsidRDefault="000924EA" w:rsidP="000924EA">
      <w:pPr>
        <w:pStyle w:val="ListParagraph"/>
        <w:numPr>
          <w:ilvl w:val="0"/>
          <w:numId w:val="5"/>
        </w:numPr>
        <w:rPr>
          <w:i/>
          <w:iCs/>
        </w:rPr>
      </w:pPr>
      <w:r>
        <w:rPr>
          <w:i/>
          <w:iCs/>
        </w:rPr>
        <w:t xml:space="preserve">RAN1 to defer to RAN2 for further progress on studies regarding RRM relaxations and E-DRx for RedCap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TableGrid"/>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924EA" w:rsidRPr="00D15372" w14:paraId="11CB4926" w14:textId="77777777" w:rsidTr="00854E5F">
        <w:tc>
          <w:tcPr>
            <w:tcW w:w="1480" w:type="dxa"/>
            <w:shd w:val="clear" w:color="auto" w:fill="auto"/>
          </w:tcPr>
          <w:p w14:paraId="173E15B2" w14:textId="77777777" w:rsidR="000924EA" w:rsidRPr="00D15372" w:rsidRDefault="000924EA" w:rsidP="00854E5F">
            <w:pPr>
              <w:rPr>
                <w:rFonts w:eastAsia="Malgun Gothic"/>
                <w:lang w:eastAsia="ko-KR"/>
              </w:rPr>
            </w:pPr>
          </w:p>
        </w:tc>
        <w:tc>
          <w:tcPr>
            <w:tcW w:w="6801" w:type="dxa"/>
            <w:shd w:val="clear" w:color="auto" w:fill="auto"/>
          </w:tcPr>
          <w:p w14:paraId="43D30749" w14:textId="77777777" w:rsidR="000924EA" w:rsidRPr="00D15372" w:rsidRDefault="000924EA" w:rsidP="00854E5F">
            <w:pPr>
              <w:rPr>
                <w:rFonts w:eastAsia="Malgun Gothic"/>
                <w:lang w:eastAsia="ko-KR"/>
              </w:rPr>
            </w:pP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lastRenderedPageBreak/>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4835E9"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RedCap UE include indication in Msg1 (RRC_IDLE or </w:t>
            </w:r>
            <w:r w:rsidR="006F0E96" w:rsidRPr="00563B56">
              <w:rPr>
                <w:bCs/>
                <w:i/>
                <w:iCs/>
              </w:rPr>
              <w:lastRenderedPageBreak/>
              <w:t>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4835E9"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4835E9"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4835E9"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4835E9"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lastRenderedPageBreak/>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4835E9"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4835E9"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4835E9"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4835E9"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4835E9"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4835E9"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lastRenderedPageBreak/>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4835E9"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4835E9"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w:t>
            </w:r>
            <w:r w:rsidRPr="00D377AD">
              <w:rPr>
                <w:bCs/>
                <w:i/>
                <w:iCs/>
              </w:rPr>
              <w:lastRenderedPageBreak/>
              <w:t xml:space="preserve">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4835E9"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4835E9"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4835E9"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lastRenderedPageBreak/>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4835E9"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4835E9"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lastRenderedPageBreak/>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4835E9"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10AE5" w14:textId="77777777" w:rsidR="00361E2E" w:rsidRDefault="00361E2E" w:rsidP="004C0876">
      <w:pPr>
        <w:spacing w:after="0"/>
      </w:pPr>
      <w:r>
        <w:separator/>
      </w:r>
    </w:p>
  </w:endnote>
  <w:endnote w:type="continuationSeparator" w:id="0">
    <w:p w14:paraId="7D2C2145" w14:textId="77777777" w:rsidR="00361E2E" w:rsidRDefault="00361E2E"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8A63E3" w:rsidRDefault="008A63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7586F307" w14:textId="77777777" w:rsidR="008A63E3" w:rsidRDefault="008A6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3C0A4" w14:textId="77777777" w:rsidR="00361E2E" w:rsidRDefault="00361E2E" w:rsidP="004C0876">
      <w:pPr>
        <w:spacing w:after="0"/>
      </w:pPr>
      <w:r>
        <w:separator/>
      </w:r>
    </w:p>
  </w:footnote>
  <w:footnote w:type="continuationSeparator" w:id="0">
    <w:p w14:paraId="2D284F7B" w14:textId="77777777" w:rsidR="00361E2E" w:rsidRDefault="00361E2E"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CF3"/>
    <w:rsid w:val="000E4FA8"/>
    <w:rsid w:val="000E539A"/>
    <w:rsid w:val="000E5F47"/>
    <w:rsid w:val="000E6450"/>
    <w:rsid w:val="000E7322"/>
    <w:rsid w:val="000E78BA"/>
    <w:rsid w:val="000E7F4C"/>
    <w:rsid w:val="000F0CB9"/>
    <w:rsid w:val="000F5A5B"/>
    <w:rsid w:val="000F5C68"/>
    <w:rsid w:val="000F6703"/>
    <w:rsid w:val="000F7D6D"/>
    <w:rsid w:val="000F7FFE"/>
    <w:rsid w:val="0010108F"/>
    <w:rsid w:val="00101523"/>
    <w:rsid w:val="0010210F"/>
    <w:rsid w:val="001027FE"/>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A2F"/>
    <w:rsid w:val="00A04B9A"/>
    <w:rsid w:val="00A0574C"/>
    <w:rsid w:val="00A06869"/>
    <w:rsid w:val="00A07134"/>
    <w:rsid w:val="00A07A94"/>
    <w:rsid w:val="00A126DF"/>
    <w:rsid w:val="00A12E93"/>
    <w:rsid w:val="00A1500B"/>
    <w:rsid w:val="00A1565F"/>
    <w:rsid w:val="00A15F83"/>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2EF7"/>
    <w:rsid w:val="00B032C6"/>
    <w:rsid w:val="00B03CEE"/>
    <w:rsid w:val="00B043D1"/>
    <w:rsid w:val="00B07C72"/>
    <w:rsid w:val="00B100F6"/>
    <w:rsid w:val="00B11DCE"/>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30BB"/>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66EF0-9C59-48A6-AE27-05F45D65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24</Pages>
  <Words>9302</Words>
  <Characters>47750</Characters>
  <Application>Microsoft Office Word</Application>
  <DocSecurity>0</DocSecurity>
  <Lines>1343</Lines>
  <Paragraphs>812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56538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Chatterjee, Debdeep</cp:lastModifiedBy>
  <cp:revision>136</cp:revision>
  <dcterms:created xsi:type="dcterms:W3CDTF">2020-08-24T02:24:00Z</dcterms:created>
  <dcterms:modified xsi:type="dcterms:W3CDTF">2020-08-24T08:08:00Z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08:08:16Z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