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 xml:space="preserve">for </w:t>
            </w:r>
            <w:proofErr w:type="spellStart"/>
            <w:r w:rsidR="00241D29" w:rsidRPr="00241D29">
              <w:rPr>
                <w:lang w:val="en-US"/>
              </w:rPr>
              <w:t>RedCap</w:t>
            </w:r>
            <w:proofErr w:type="spellEnd"/>
            <w:r w:rsidR="00241D29" w:rsidRPr="00241D29">
              <w:rPr>
                <w:lang w:val="en-US"/>
              </w:rPr>
              <w:t xml:space="preserve">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proofErr w:type="spellStart"/>
            <w:r w:rsidR="00377685">
              <w:rPr>
                <w:lang w:val="en-US"/>
              </w:rPr>
              <w:t>RedCap</w:t>
            </w:r>
            <w:proofErr w:type="spellEnd"/>
            <w:r w:rsidR="00377685">
              <w:rPr>
                <w:lang w:val="en-US"/>
              </w:rPr>
              <w:t xml:space="preserve">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xml:space="preserve">. We can reuse the basic FG concept to define the UE type for </w:t>
            </w:r>
            <w:proofErr w:type="spellStart"/>
            <w:r>
              <w:rPr>
                <w:lang w:val="en-US"/>
              </w:rPr>
              <w:t>RedCap</w:t>
            </w:r>
            <w:proofErr w:type="spellEnd"/>
            <w:r>
              <w:rPr>
                <w:lang w:val="en-US"/>
              </w:rPr>
              <w:t>.</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w:t>
            </w:r>
            <w:proofErr w:type="spellStart"/>
            <w:r>
              <w:rPr>
                <w:lang w:val="en-US" w:eastAsia="zh-CN"/>
              </w:rPr>
              <w:t>RedCap</w:t>
            </w:r>
            <w:proofErr w:type="spellEnd"/>
            <w:r>
              <w:rPr>
                <w:lang w:val="en-US" w:eastAsia="zh-CN"/>
              </w:rPr>
              <w:t xml:space="preserve">. The UE features/capabilities that </w:t>
            </w:r>
            <w:proofErr w:type="spellStart"/>
            <w:r>
              <w:rPr>
                <w:lang w:val="en-US" w:eastAsia="zh-CN"/>
              </w:rPr>
              <w:t>RedCap</w:t>
            </w:r>
            <w:proofErr w:type="spellEnd"/>
            <w:r>
              <w:rPr>
                <w:lang w:val="en-US" w:eastAsia="zh-CN"/>
              </w:rPr>
              <w:t xml:space="preserve">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w:t>
            </w:r>
            <w:proofErr w:type="spellStart"/>
            <w:r>
              <w:rPr>
                <w:lang w:val="en-US"/>
              </w:rPr>
              <w:t>RedCap</w:t>
            </w:r>
            <w:proofErr w:type="spellEnd"/>
            <w:r>
              <w:rPr>
                <w:lang w:val="en-US"/>
              </w:rPr>
              <w:t xml:space="preserve">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 xml:space="preserve">From our perspective, Alt.2 is preferred in terms of signaling overhead and the readability of the set of capability parameters specific to a </w:t>
            </w:r>
            <w:proofErr w:type="spellStart"/>
            <w:r>
              <w:rPr>
                <w:lang w:val="en-US" w:eastAsia="ko-KR"/>
              </w:rPr>
              <w:t>RedCap</w:t>
            </w:r>
            <w:proofErr w:type="spellEnd"/>
            <w:r>
              <w:rPr>
                <w:lang w:val="en-US" w:eastAsia="ko-KR"/>
              </w:rPr>
              <w:t xml:space="preserve">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w:t>
            </w:r>
            <w:proofErr w:type="spellStart"/>
            <w:r w:rsidRPr="00146731">
              <w:rPr>
                <w:lang w:val="en-US" w:eastAsia="zh-CN"/>
              </w:rPr>
              <w:t>RedCap</w:t>
            </w:r>
            <w:proofErr w:type="spellEnd"/>
            <w:r w:rsidRPr="00146731">
              <w:rPr>
                <w:lang w:val="en-US" w:eastAsia="zh-CN"/>
              </w:rPr>
              <w:t xml:space="preserve">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w:t>
            </w:r>
            <w:proofErr w:type="spellStart"/>
            <w:r>
              <w:rPr>
                <w:lang w:val="en-US" w:eastAsia="zh-CN"/>
              </w:rPr>
              <w:t>RedCap</w:t>
            </w:r>
            <w:proofErr w:type="spellEnd"/>
            <w:r>
              <w:rPr>
                <w:lang w:val="en-US" w:eastAsia="zh-CN"/>
              </w:rPr>
              <w:t xml:space="preserve">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 xml:space="preserve">In our view, it is kind-of a mix of both alternatives, i.e. one type for </w:t>
            </w:r>
            <w:proofErr w:type="spellStart"/>
            <w:r>
              <w:rPr>
                <w:rFonts w:eastAsia="DengXian"/>
                <w:lang w:val="en-US" w:eastAsia="zh-CN"/>
              </w:rPr>
              <w:t>RedCap</w:t>
            </w:r>
            <w:proofErr w:type="spellEnd"/>
            <w:r>
              <w:rPr>
                <w:rFonts w:eastAsia="DengXian"/>
                <w:lang w:val="en-US" w:eastAsia="zh-CN"/>
              </w:rPr>
              <w:t xml:space="preserve">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is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 xml:space="preserve">basic FG concept can be reused to define the UE type for </w:t>
            </w:r>
            <w:proofErr w:type="spellStart"/>
            <w:r>
              <w:rPr>
                <w:lang w:val="en-US"/>
              </w:rPr>
              <w:t>RedCap</w:t>
            </w:r>
            <w:proofErr w:type="spellEnd"/>
            <w:r>
              <w:rPr>
                <w:lang w:val="en-US"/>
              </w:rPr>
              <w:t xml:space="preserve">. For example, if we have low and high UE types for </w:t>
            </w:r>
            <w:proofErr w:type="spellStart"/>
            <w:r>
              <w:rPr>
                <w:lang w:val="en-US"/>
              </w:rPr>
              <w:t>RedCap</w:t>
            </w:r>
            <w:proofErr w:type="spellEnd"/>
            <w:r>
              <w:rPr>
                <w:lang w:val="en-US"/>
              </w:rPr>
              <w:t>,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xml:space="preserve">), which will not be supported by </w:t>
            </w:r>
            <w:proofErr w:type="spellStart"/>
            <w:r>
              <w:rPr>
                <w:rFonts w:eastAsiaTheme="minorEastAsia"/>
                <w:lang w:val="en-US" w:eastAsia="ja-JP"/>
              </w:rPr>
              <w:t>RedCap</w:t>
            </w:r>
            <w:proofErr w:type="spellEnd"/>
            <w:r>
              <w:rPr>
                <w:rFonts w:eastAsiaTheme="minorEastAsia"/>
                <w:lang w:val="en-US" w:eastAsia="ja-JP"/>
              </w:rPr>
              <w:t xml:space="preserve"> UE, adding note in the corresponding </w:t>
            </w:r>
            <w:proofErr w:type="spellStart"/>
            <w:r>
              <w:rPr>
                <w:rFonts w:eastAsiaTheme="minorEastAsia"/>
                <w:lang w:val="en-US" w:eastAsia="ja-JP"/>
              </w:rPr>
              <w:t>RedCap</w:t>
            </w:r>
            <w:proofErr w:type="spellEnd"/>
            <w:r>
              <w:rPr>
                <w:rFonts w:eastAsiaTheme="minorEastAsia"/>
                <w:lang w:val="en-US" w:eastAsia="ja-JP"/>
              </w:rPr>
              <w:t xml:space="preserve"> FG that “UE supporting this FG does not necessarily support FG2-3” would be enough. Detail can be further discussed when FGs for </w:t>
            </w:r>
            <w:proofErr w:type="spellStart"/>
            <w:r>
              <w:rPr>
                <w:rFonts w:eastAsiaTheme="minorEastAsia"/>
                <w:lang w:val="en-US" w:eastAsia="ja-JP"/>
              </w:rPr>
              <w:t>RedCap</w:t>
            </w:r>
            <w:proofErr w:type="spellEnd"/>
            <w:r>
              <w:rPr>
                <w:rFonts w:eastAsiaTheme="minorEastAsia"/>
                <w:lang w:val="en-US" w:eastAsia="ja-JP"/>
              </w:rPr>
              <w:t xml:space="preserve">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w:t>
            </w:r>
            <w:proofErr w:type="spellStart"/>
            <w:r>
              <w:rPr>
                <w:lang w:val="en-US" w:eastAsia="zh-CN"/>
              </w:rPr>
              <w:t>RedCap</w:t>
            </w:r>
            <w:proofErr w:type="spellEnd"/>
            <w:r>
              <w:rPr>
                <w:lang w:val="en-US" w:eastAsia="zh-CN"/>
              </w:rPr>
              <w:t xml:space="preserve"> UEs. After initial access, </w:t>
            </w:r>
            <w:r>
              <w:rPr>
                <w:rFonts w:eastAsiaTheme="minorEastAsia"/>
                <w:lang w:val="en-US" w:eastAsia="ja-JP"/>
              </w:rPr>
              <w:t xml:space="preserve">existing UE feature/capability framework is used to signal UE capability for </w:t>
            </w:r>
            <w:proofErr w:type="spellStart"/>
            <w:r>
              <w:rPr>
                <w:rFonts w:eastAsiaTheme="minorEastAsia"/>
                <w:lang w:val="en-US" w:eastAsia="ja-JP"/>
              </w:rPr>
              <w:t>RedCap</w:t>
            </w:r>
            <w:proofErr w:type="spellEnd"/>
            <w:r>
              <w:rPr>
                <w:rFonts w:eastAsiaTheme="minorEastAsia"/>
                <w:lang w:val="en-US" w:eastAsia="ja-JP"/>
              </w:rPr>
              <w:t xml:space="preserve">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lastRenderedPageBreak/>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 xml:space="preserve">basic feature groups can be defined for different </w:t>
            </w:r>
            <w:proofErr w:type="spellStart"/>
            <w:r>
              <w:rPr>
                <w:lang w:val="en-US"/>
              </w:rPr>
              <w:t>RedCap</w:t>
            </w:r>
            <w:proofErr w:type="spellEnd"/>
            <w:r>
              <w:rPr>
                <w:lang w:val="en-US"/>
              </w:rPr>
              <w:t xml:space="preserve">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 xml:space="preserve">It is OK to study, but the study should be led by RAN 2. And it is needed to first identify the features that a </w:t>
            </w:r>
            <w:proofErr w:type="spellStart"/>
            <w:r>
              <w:rPr>
                <w:lang w:val="en-US"/>
              </w:rPr>
              <w:t>RedCap</w:t>
            </w:r>
            <w:proofErr w:type="spellEnd"/>
            <w:r>
              <w:rPr>
                <w:lang w:val="en-US"/>
              </w:rPr>
              <w:t xml:space="preserve">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 xml:space="preserve">Agree with Qualcomm. Nevertheless we support having feature groups for different </w:t>
            </w:r>
            <w:proofErr w:type="spellStart"/>
            <w:r>
              <w:rPr>
                <w:lang w:val="en-US"/>
              </w:rPr>
              <w:t>RedCap</w:t>
            </w:r>
            <w:proofErr w:type="spellEnd"/>
            <w:r>
              <w:rPr>
                <w:lang w:val="en-US"/>
              </w:rPr>
              <w:t xml:space="preserve">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 xml:space="preserve">Either UE feature group or </w:t>
            </w:r>
            <w:proofErr w:type="spellStart"/>
            <w:r>
              <w:rPr>
                <w:rFonts w:eastAsia="DengXian"/>
                <w:lang w:val="en-US" w:eastAsia="zh-CN"/>
              </w:rPr>
              <w:t>RedCap</w:t>
            </w:r>
            <w:proofErr w:type="spellEnd"/>
            <w:r>
              <w:rPr>
                <w:rFonts w:eastAsia="DengXian"/>
                <w:lang w:val="en-US" w:eastAsia="zh-CN"/>
              </w:rPr>
              <w:t xml:space="preserve">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 xml:space="preserve">OK to study additional mechanism that can be used e.g. to define different types of </w:t>
            </w:r>
            <w:proofErr w:type="spellStart"/>
            <w:r>
              <w:rPr>
                <w:lang w:val="en-US"/>
              </w:rPr>
              <w:t>RedCap</w:t>
            </w:r>
            <w:proofErr w:type="spellEnd"/>
            <w:r>
              <w:rPr>
                <w:lang w:val="en-US"/>
              </w:rPr>
              <w:t xml:space="preserve"> UE, for early identification of </w:t>
            </w:r>
            <w:proofErr w:type="spellStart"/>
            <w:r>
              <w:rPr>
                <w:lang w:val="en-US"/>
              </w:rPr>
              <w:t>RedCap</w:t>
            </w:r>
            <w:proofErr w:type="spellEnd"/>
            <w:r>
              <w:rPr>
                <w:lang w:val="en-US"/>
              </w:rPr>
              <w:t xml:space="preserve">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 xml:space="preserve">Additional mechanisms could include early identification of </w:t>
            </w:r>
            <w:proofErr w:type="spellStart"/>
            <w:r>
              <w:rPr>
                <w:lang w:val="en-US"/>
              </w:rPr>
              <w:t>RedCap</w:t>
            </w:r>
            <w:proofErr w:type="spellEnd"/>
            <w:r>
              <w:rPr>
                <w:lang w:val="en-US"/>
              </w:rPr>
              <w:t xml:space="preserve">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DengXian" w:hint="eastAsia"/>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lastRenderedPageBreak/>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proofErr w:type="spellStart"/>
            <w:r w:rsidR="009C7AD4">
              <w:rPr>
                <w:lang w:val="en-US"/>
              </w:rPr>
              <w:t>RedCap</w:t>
            </w:r>
            <w:proofErr w:type="spellEnd"/>
            <w:r w:rsidR="009C7AD4">
              <w:rPr>
                <w:lang w:val="en-US"/>
              </w:rPr>
              <w:t xml:space="preserve">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 xml:space="preserve">Single UE type for each FR can be considered for initial access. For FR1, 20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 Another UE Bandwidth larger than 20 MHz can be considered after initial access for FR1. For FR2, 100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 xml:space="preserve">igh-end and low-end </w:t>
            </w:r>
            <w:proofErr w:type="spellStart"/>
            <w:r>
              <w:rPr>
                <w:rFonts w:eastAsia="DengXian" w:hint="eastAsia"/>
                <w:lang w:val="en-US" w:eastAsia="zh-CN"/>
              </w:rPr>
              <w:t>RedCap</w:t>
            </w:r>
            <w:proofErr w:type="spellEnd"/>
            <w:r>
              <w:rPr>
                <w:rFonts w:eastAsia="DengXian" w:hint="eastAsia"/>
                <w:lang w:val="en-US" w:eastAsia="zh-CN"/>
              </w:rPr>
              <w:t xml:space="preserve">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w:t>
            </w:r>
            <w:proofErr w:type="spellStart"/>
            <w:r w:rsidRPr="0031128E">
              <w:rPr>
                <w:lang w:val="en-US"/>
              </w:rPr>
              <w:t>RedCap</w:t>
            </w:r>
            <w:proofErr w:type="spellEnd"/>
            <w:r w:rsidRPr="0031128E">
              <w:rPr>
                <w:lang w:val="en-US"/>
              </w:rPr>
              <w:t xml:space="preserve">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w:t>
            </w:r>
            <w:proofErr w:type="spellStart"/>
            <w:r>
              <w:rPr>
                <w:lang w:val="en-US"/>
              </w:rPr>
              <w:t>RedCap</w:t>
            </w:r>
            <w:proofErr w:type="spellEnd"/>
            <w:r>
              <w:rPr>
                <w:lang w:val="en-US"/>
              </w:rPr>
              <w:t>.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 xml:space="preserve">Not sure if all companies have the same definition of UE type in mind, which seems open in FL proposal#1. To avoid market fragmentation, one </w:t>
            </w:r>
            <w:proofErr w:type="spellStart"/>
            <w:r>
              <w:rPr>
                <w:rFonts w:eastAsia="DengXian"/>
                <w:lang w:val="en-US" w:eastAsia="zh-CN"/>
              </w:rPr>
              <w:t>RedCap</w:t>
            </w:r>
            <w:proofErr w:type="spellEnd"/>
            <w:r>
              <w:rPr>
                <w:rFonts w:eastAsia="DengXian"/>
                <w:lang w:val="en-US" w:eastAsia="zh-CN"/>
              </w:rPr>
              <w:t xml:space="preserve"> UE type per FR is sufficient</w:t>
            </w:r>
            <w:r w:rsidR="00901EC2">
              <w:rPr>
                <w:rFonts w:eastAsia="DengXian"/>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lastRenderedPageBreak/>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lastRenderedPageBreak/>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 xml:space="preserve">Network should validate a UE’s </w:t>
            </w:r>
            <w:proofErr w:type="spellStart"/>
            <w:r w:rsidRPr="00861F43">
              <w:rPr>
                <w:lang w:val="en-US"/>
              </w:rPr>
              <w:t>RedCap</w:t>
            </w:r>
            <w:proofErr w:type="spellEnd"/>
            <w:r w:rsidRPr="00861F43">
              <w:rPr>
                <w:lang w:val="en-US"/>
              </w:rPr>
              <w:t xml:space="preserve"> indication against UE’s subscription to ensure it does not receive services unintended for </w:t>
            </w:r>
            <w:proofErr w:type="spellStart"/>
            <w:r w:rsidRPr="00861F43">
              <w:rPr>
                <w:lang w:val="en-US"/>
              </w:rPr>
              <w:t>RedCap</w:t>
            </w:r>
            <w:proofErr w:type="spellEnd"/>
            <w:r w:rsidRPr="00861F43">
              <w:rPr>
                <w:lang w:val="en-US"/>
              </w:rPr>
              <w:t xml:space="preserve"> UEs.</w:t>
            </w:r>
            <w:r>
              <w:t xml:space="preserve"> </w:t>
            </w:r>
            <w:r w:rsidRPr="00861F43">
              <w:rPr>
                <w:lang w:val="en-US"/>
              </w:rPr>
              <w:t xml:space="preserve">Network can additionally perform capability match procedure between UE’s reported radio capabilities and the set of capability criteria associated with UE’s </w:t>
            </w:r>
            <w:proofErr w:type="spellStart"/>
            <w:r w:rsidRPr="00861F43">
              <w:rPr>
                <w:lang w:val="en-US"/>
              </w:rPr>
              <w:t>RedCap</w:t>
            </w:r>
            <w:proofErr w:type="spellEnd"/>
            <w:r w:rsidRPr="00861F43">
              <w:rPr>
                <w:lang w:val="en-US"/>
              </w:rPr>
              <w:t xml:space="preserve"> type, to prevent a hacked or misconfigured UE from falsely reporting as a </w:t>
            </w:r>
            <w:proofErr w:type="spellStart"/>
            <w:r w:rsidRPr="00861F43">
              <w:rPr>
                <w:lang w:val="en-US"/>
              </w:rPr>
              <w:t>RedCap</w:t>
            </w:r>
            <w:proofErr w:type="spellEnd"/>
            <w:r w:rsidRPr="00861F43">
              <w:rPr>
                <w:lang w:val="en-US"/>
              </w:rPr>
              <w:t xml:space="preserve">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w:t>
            </w:r>
            <w:proofErr w:type="spellStart"/>
            <w:r>
              <w:rPr>
                <w:lang w:val="en-US" w:eastAsia="ko-KR"/>
              </w:rPr>
              <w:t>RedCap</w:t>
            </w:r>
            <w:proofErr w:type="spellEnd"/>
            <w:r>
              <w:rPr>
                <w:lang w:val="en-US" w:eastAsia="ko-KR"/>
              </w:rPr>
              <w:t xml:space="preserve">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37AD9077" w:rsidR="0016723E" w:rsidRDefault="0016723E" w:rsidP="0016723E">
            <w:pPr>
              <w:rPr>
                <w:lang w:eastAsia="zh-CN"/>
              </w:rPr>
            </w:pPr>
            <w:r>
              <w:rPr>
                <w:lang w:val="en-US" w:eastAsia="ko-KR"/>
              </w:rPr>
              <w:t>SONY</w:t>
            </w:r>
          </w:p>
        </w:tc>
        <w:tc>
          <w:tcPr>
            <w:tcW w:w="1350" w:type="dxa"/>
          </w:tcPr>
          <w:p w14:paraId="6E159F39" w14:textId="188C0571" w:rsidR="0016723E" w:rsidRDefault="0016723E" w:rsidP="0016723E">
            <w:pPr>
              <w:rPr>
                <w:rFonts w:eastAsia="DengXian" w:hint="eastAsia"/>
                <w:lang w:val="en-US" w:eastAsia="zh-CN"/>
              </w:rPr>
            </w:pPr>
            <w:r>
              <w:rPr>
                <w:lang w:val="en-US" w:eastAsia="ko-KR"/>
              </w:rPr>
              <w:t>Y</w:t>
            </w:r>
          </w:p>
        </w:tc>
        <w:tc>
          <w:tcPr>
            <w:tcW w:w="6801" w:type="dxa"/>
          </w:tcPr>
          <w:p w14:paraId="4E8A2E4A" w14:textId="4EB97C38" w:rsidR="0016723E" w:rsidRPr="0084096E" w:rsidRDefault="0016723E" w:rsidP="0016723E">
            <w:pPr>
              <w:rPr>
                <w:rFonts w:hint="eastAsia"/>
                <w:lang w:val="en-US"/>
              </w:rPr>
            </w:pPr>
            <w:r>
              <w:rPr>
                <w:lang w:val="en-US"/>
              </w:rPr>
              <w:t>This should be discussed in RAN2.</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lastRenderedPageBreak/>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 xml:space="preserve">We don’t think CA should be supported by </w:t>
            </w:r>
            <w:proofErr w:type="spellStart"/>
            <w:r>
              <w:rPr>
                <w:lang w:val="en-US"/>
              </w:rPr>
              <w:t>RedCap</w:t>
            </w:r>
            <w:proofErr w:type="spellEnd"/>
            <w:r>
              <w:rPr>
                <w:lang w:val="en-US"/>
              </w:rPr>
              <w:t xml:space="preserve">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 xml:space="preserve">’t see the benefit to introduce CA in </w:t>
            </w:r>
            <w:proofErr w:type="spellStart"/>
            <w:r>
              <w:rPr>
                <w:rFonts w:eastAsiaTheme="minorEastAsia"/>
                <w:lang w:val="en-US" w:eastAsia="ja-JP"/>
              </w:rPr>
              <w:t>RedCap</w:t>
            </w:r>
            <w:proofErr w:type="spellEnd"/>
            <w:r>
              <w:rPr>
                <w:rFonts w:eastAsiaTheme="minorEastAsia"/>
                <w:lang w:val="en-US" w:eastAsia="ja-JP"/>
              </w:rPr>
              <w:t xml:space="preserve">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 xml:space="preserve">e do not see the need for </w:t>
            </w:r>
            <w:proofErr w:type="spellStart"/>
            <w:r>
              <w:rPr>
                <w:rFonts w:eastAsia="DengXian"/>
                <w:lang w:val="en-US" w:eastAsia="zh-CN"/>
              </w:rPr>
              <w:t>RedCap</w:t>
            </w:r>
            <w:proofErr w:type="spellEnd"/>
            <w:r>
              <w:rPr>
                <w:rFonts w:eastAsia="DengXian"/>
                <w:lang w:val="en-US" w:eastAsia="zh-CN"/>
              </w:rPr>
              <w:t xml:space="preserve">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 xml:space="preserve">We agree that CA should not be mandatory for </w:t>
            </w:r>
            <w:proofErr w:type="spellStart"/>
            <w:r>
              <w:rPr>
                <w:lang w:val="en-US"/>
              </w:rPr>
              <w:t>RedCap</w:t>
            </w:r>
            <w:proofErr w:type="spellEnd"/>
            <w:r>
              <w:rPr>
                <w:lang w:val="en-US"/>
              </w:rPr>
              <w:t xml:space="preserve"> UEs. Whether </w:t>
            </w:r>
            <w:proofErr w:type="spellStart"/>
            <w:r>
              <w:rPr>
                <w:lang w:val="en-US"/>
              </w:rPr>
              <w:t>RedCap</w:t>
            </w:r>
            <w:proofErr w:type="spellEnd"/>
            <w:r>
              <w:rPr>
                <w:lang w:val="en-US"/>
              </w:rPr>
              <w:t xml:space="preserve">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6" w:name="OLE_LINK8"/>
            <w:r>
              <w:rPr>
                <w:rFonts w:eastAsia="DengXian" w:hint="eastAsia"/>
                <w:lang w:val="en-US" w:eastAsia="zh-CN"/>
              </w:rPr>
              <w:t>Y</w:t>
            </w:r>
            <w:bookmarkEnd w:id="6"/>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w:t>
            </w:r>
            <w:proofErr w:type="spellStart"/>
            <w:r>
              <w:rPr>
                <w:rFonts w:eastAsia="DengXian"/>
                <w:lang w:val="en-US" w:eastAsia="zh-CN"/>
              </w:rPr>
              <w:t>RedCap</w:t>
            </w:r>
            <w:proofErr w:type="spellEnd"/>
            <w:r>
              <w:rPr>
                <w:rFonts w:eastAsia="DengXian"/>
                <w:lang w:val="en-US" w:eastAsia="zh-CN"/>
              </w:rPr>
              <w:t xml:space="preserve">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proofErr w:type="spellStart"/>
            <w:r>
              <w:t>RedCap</w:t>
            </w:r>
            <w:proofErr w:type="spellEnd"/>
            <w:r>
              <w:t xml:space="preserve">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hint="eastAsia"/>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 xml:space="preserve">Link budget evaluations for </w:t>
            </w:r>
            <w:proofErr w:type="spellStart"/>
            <w:r>
              <w:rPr>
                <w:lang w:val="en-US"/>
              </w:rPr>
              <w:t>RedCap</w:t>
            </w:r>
            <w:proofErr w:type="spellEnd"/>
            <w:r>
              <w:rPr>
                <w:lang w:val="en-US"/>
              </w:rPr>
              <w:t xml:space="preserve">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 xml:space="preserve">To improve the resource utilization efficiency of the network as well as the energy efficiency of UE, it is important to study the co-existence issue for legacy UE and </w:t>
            </w:r>
            <w:proofErr w:type="spellStart"/>
            <w:r>
              <w:rPr>
                <w:lang w:val="en-US"/>
              </w:rPr>
              <w:t>RedCap</w:t>
            </w:r>
            <w:proofErr w:type="spellEnd"/>
            <w:r>
              <w:rPr>
                <w:lang w:val="en-US"/>
              </w:rPr>
              <w:t xml:space="preserve">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w:t>
            </w:r>
            <w:proofErr w:type="spellStart"/>
            <w:r>
              <w:rPr>
                <w:rFonts w:eastAsiaTheme="minorEastAsia"/>
                <w:lang w:val="en-US" w:eastAsia="ja-JP"/>
              </w:rPr>
              <w:t>RedCap</w:t>
            </w:r>
            <w:proofErr w:type="spellEnd"/>
            <w:r>
              <w:rPr>
                <w:rFonts w:eastAsiaTheme="minorEastAsia"/>
                <w:lang w:val="en-US" w:eastAsia="ja-JP"/>
              </w:rPr>
              <w:t xml:space="preserve">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lastRenderedPageBreak/>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w:t>
            </w:r>
            <w:proofErr w:type="spellStart"/>
            <w:r>
              <w:rPr>
                <w:rFonts w:eastAsia="DengXian"/>
                <w:lang w:val="en-US" w:eastAsia="zh-CN"/>
              </w:rPr>
              <w:t>RedCap</w:t>
            </w:r>
            <w:proofErr w:type="spellEnd"/>
            <w:r>
              <w:rPr>
                <w:rFonts w:eastAsia="DengXian"/>
                <w:lang w:val="en-US" w:eastAsia="zh-CN"/>
              </w:rPr>
              <w:t xml:space="preserve">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 xml:space="preserve">the impact on legacy performance, the economies of scale for </w:t>
            </w:r>
            <w:proofErr w:type="spellStart"/>
            <w:r w:rsidRPr="00AA65CB">
              <w:rPr>
                <w:rFonts w:eastAsia="DengXian"/>
                <w:lang w:eastAsia="zh-CN"/>
              </w:rPr>
              <w:t>RedCap</w:t>
            </w:r>
            <w:proofErr w:type="spellEnd"/>
            <w:r w:rsidRPr="00AA65CB">
              <w:rPr>
                <w:rFonts w:eastAsia="DengXian"/>
                <w:lang w:eastAsia="zh-CN"/>
              </w:rPr>
              <w:t xml:space="preserve">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hint="eastAsia"/>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lastRenderedPageBreak/>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lastRenderedPageBreak/>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w:t>
            </w:r>
            <w:proofErr w:type="spellStart"/>
            <w:r w:rsidR="00D74332">
              <w:rPr>
                <w:lang w:val="en-US"/>
              </w:rPr>
              <w:t>RedCap</w:t>
            </w:r>
            <w:proofErr w:type="spellEnd"/>
            <w:r w:rsidR="00D74332">
              <w:rPr>
                <w:lang w:val="en-US"/>
              </w:rPr>
              <w:t xml:space="preserve">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4106" w:type="pct"/>
          </w:tcPr>
          <w:p w14:paraId="55CB20F6" w14:textId="07DF66BA" w:rsidR="00A8150F" w:rsidRDefault="00A8150F" w:rsidP="00A8150F">
            <w:pPr>
              <w:rPr>
                <w:lang w:val="en-US"/>
              </w:rPr>
            </w:pPr>
            <w:r>
              <w:rPr>
                <w:rFonts w:eastAsia="DengXian"/>
                <w:lang w:val="en-US" w:eastAsia="zh-CN"/>
              </w:rPr>
              <w:t xml:space="preserve">In our view, the minimum (mandatory) capabilities for </w:t>
            </w:r>
            <w:proofErr w:type="spellStart"/>
            <w:r>
              <w:rPr>
                <w:rFonts w:eastAsia="DengXian"/>
                <w:lang w:val="en-US" w:eastAsia="zh-CN"/>
              </w:rPr>
              <w:t>RedCap</w:t>
            </w:r>
            <w:proofErr w:type="spellEnd"/>
            <w:r>
              <w:rPr>
                <w:rFonts w:eastAsia="DengXian"/>
                <w:lang w:val="en-US" w:eastAsia="zh-CN"/>
              </w:rPr>
              <w:t xml:space="preserve">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bookmarkStart w:id="12" w:name="_GoBack" w:colFirst="0" w:colLast="0"/>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bookmarkEnd w:id="12"/>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3"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3"/>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lastRenderedPageBreak/>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 xml:space="preserve">In [6][8][9][10][14][19],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825F17" w:rsidP="005A5F17">
      <w:pPr>
        <w:pStyle w:val="ListParagraph"/>
        <w:numPr>
          <w:ilvl w:val="0"/>
          <w:numId w:val="18"/>
        </w:numPr>
        <w:ind w:leftChars="0"/>
      </w:pPr>
      <w:hyperlink r:id="rId8"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825F17" w:rsidP="005A5F17">
      <w:pPr>
        <w:pStyle w:val="ListParagraph"/>
        <w:numPr>
          <w:ilvl w:val="0"/>
          <w:numId w:val="18"/>
        </w:numPr>
        <w:ind w:leftChars="0"/>
      </w:pPr>
      <w:hyperlink r:id="rId9"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825F17"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825F17"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825F17"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825F17" w:rsidP="005A5F17">
      <w:pPr>
        <w:pStyle w:val="ListParagraph"/>
        <w:numPr>
          <w:ilvl w:val="0"/>
          <w:numId w:val="18"/>
        </w:numPr>
        <w:ind w:leftChars="0"/>
      </w:pPr>
      <w:hyperlink r:id="rId13"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825F17"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825F17" w:rsidP="005A5F17">
      <w:pPr>
        <w:pStyle w:val="ListParagraph"/>
        <w:numPr>
          <w:ilvl w:val="0"/>
          <w:numId w:val="18"/>
        </w:numPr>
        <w:ind w:leftChars="0"/>
      </w:pPr>
      <w:hyperlink r:id="rId15"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825F17" w:rsidP="005A5F17">
      <w:pPr>
        <w:pStyle w:val="ListParagraph"/>
        <w:numPr>
          <w:ilvl w:val="0"/>
          <w:numId w:val="18"/>
        </w:numPr>
        <w:ind w:leftChars="0"/>
      </w:pPr>
      <w:hyperlink r:id="rId16"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825F17"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825F17"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825F17"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825F17"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825F17"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825F17"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825F17"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825F17"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825F17" w:rsidP="005A5F17">
      <w:pPr>
        <w:pStyle w:val="ListParagraph"/>
        <w:numPr>
          <w:ilvl w:val="0"/>
          <w:numId w:val="18"/>
        </w:numPr>
        <w:ind w:leftChars="0"/>
      </w:pPr>
      <w:hyperlink r:id="rId25"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825F17" w:rsidP="005A5F17">
      <w:pPr>
        <w:pStyle w:val="ListParagraph"/>
        <w:numPr>
          <w:ilvl w:val="0"/>
          <w:numId w:val="18"/>
        </w:numPr>
        <w:ind w:leftChars="0"/>
      </w:pPr>
      <w:hyperlink r:id="rId26"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825F17"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825F17"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825F17"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26FC" w14:textId="77777777" w:rsidR="00825F17" w:rsidRDefault="00825F17" w:rsidP="00260B5F">
      <w:r>
        <w:separator/>
      </w:r>
    </w:p>
  </w:endnote>
  <w:endnote w:type="continuationSeparator" w:id="0">
    <w:p w14:paraId="1B5FBB76" w14:textId="77777777" w:rsidR="00825F17" w:rsidRDefault="00825F17"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0000028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B6AF8" w14:textId="77777777" w:rsidR="00825F17" w:rsidRDefault="00825F17" w:rsidP="00260B5F">
      <w:r>
        <w:separator/>
      </w:r>
    </w:p>
  </w:footnote>
  <w:footnote w:type="continuationSeparator" w:id="0">
    <w:p w14:paraId="6D5C6587" w14:textId="77777777" w:rsidR="00825F17" w:rsidRDefault="00825F17"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267B6"/>
    <w:rsid w:val="00080327"/>
    <w:rsid w:val="00081700"/>
    <w:rsid w:val="00090CFD"/>
    <w:rsid w:val="000D69FD"/>
    <w:rsid w:val="000E0B50"/>
    <w:rsid w:val="00105663"/>
    <w:rsid w:val="001156CD"/>
    <w:rsid w:val="0016723E"/>
    <w:rsid w:val="0018120B"/>
    <w:rsid w:val="001E4FC6"/>
    <w:rsid w:val="00212F7F"/>
    <w:rsid w:val="0022034A"/>
    <w:rsid w:val="00230EF0"/>
    <w:rsid w:val="00241D29"/>
    <w:rsid w:val="00260B5F"/>
    <w:rsid w:val="00265285"/>
    <w:rsid w:val="002674F6"/>
    <w:rsid w:val="00280F84"/>
    <w:rsid w:val="002A33FB"/>
    <w:rsid w:val="002B3A76"/>
    <w:rsid w:val="002E03C3"/>
    <w:rsid w:val="002E3030"/>
    <w:rsid w:val="002F24D3"/>
    <w:rsid w:val="0031128E"/>
    <w:rsid w:val="00350827"/>
    <w:rsid w:val="00377685"/>
    <w:rsid w:val="003841E1"/>
    <w:rsid w:val="003A25CA"/>
    <w:rsid w:val="004043E4"/>
    <w:rsid w:val="00451E62"/>
    <w:rsid w:val="004541EF"/>
    <w:rsid w:val="00470F8A"/>
    <w:rsid w:val="004817AE"/>
    <w:rsid w:val="00492E32"/>
    <w:rsid w:val="004C3FA3"/>
    <w:rsid w:val="00506C04"/>
    <w:rsid w:val="0050781F"/>
    <w:rsid w:val="005269DB"/>
    <w:rsid w:val="00530AAC"/>
    <w:rsid w:val="0055338C"/>
    <w:rsid w:val="00570ED6"/>
    <w:rsid w:val="00573E5B"/>
    <w:rsid w:val="005A5F17"/>
    <w:rsid w:val="005B59A7"/>
    <w:rsid w:val="005C402B"/>
    <w:rsid w:val="005D1D44"/>
    <w:rsid w:val="005E677B"/>
    <w:rsid w:val="005E7278"/>
    <w:rsid w:val="00603389"/>
    <w:rsid w:val="0063152C"/>
    <w:rsid w:val="0067741F"/>
    <w:rsid w:val="00684A94"/>
    <w:rsid w:val="006B65E2"/>
    <w:rsid w:val="006D1D07"/>
    <w:rsid w:val="00702131"/>
    <w:rsid w:val="00707E1C"/>
    <w:rsid w:val="007205D2"/>
    <w:rsid w:val="00731200"/>
    <w:rsid w:val="00733FD1"/>
    <w:rsid w:val="00753C4A"/>
    <w:rsid w:val="00787F91"/>
    <w:rsid w:val="007B0959"/>
    <w:rsid w:val="007B6F63"/>
    <w:rsid w:val="007C624E"/>
    <w:rsid w:val="007E5418"/>
    <w:rsid w:val="00807283"/>
    <w:rsid w:val="00825F17"/>
    <w:rsid w:val="0082707F"/>
    <w:rsid w:val="00837F2D"/>
    <w:rsid w:val="0084096E"/>
    <w:rsid w:val="00845504"/>
    <w:rsid w:val="00845B21"/>
    <w:rsid w:val="00861F43"/>
    <w:rsid w:val="00873B21"/>
    <w:rsid w:val="008754AA"/>
    <w:rsid w:val="008A5F3A"/>
    <w:rsid w:val="008C5411"/>
    <w:rsid w:val="008D258D"/>
    <w:rsid w:val="008D439C"/>
    <w:rsid w:val="008D5245"/>
    <w:rsid w:val="008F4AF6"/>
    <w:rsid w:val="008F5E07"/>
    <w:rsid w:val="009003DF"/>
    <w:rsid w:val="00901EC2"/>
    <w:rsid w:val="00961CBD"/>
    <w:rsid w:val="00992432"/>
    <w:rsid w:val="009A1CBF"/>
    <w:rsid w:val="009A7F37"/>
    <w:rsid w:val="009B186E"/>
    <w:rsid w:val="009B5685"/>
    <w:rsid w:val="009C12EC"/>
    <w:rsid w:val="009C7AD4"/>
    <w:rsid w:val="009F2650"/>
    <w:rsid w:val="00A22EE7"/>
    <w:rsid w:val="00A66AE0"/>
    <w:rsid w:val="00A67638"/>
    <w:rsid w:val="00A8150F"/>
    <w:rsid w:val="00A933D9"/>
    <w:rsid w:val="00A97915"/>
    <w:rsid w:val="00AB2190"/>
    <w:rsid w:val="00AD3927"/>
    <w:rsid w:val="00AE2504"/>
    <w:rsid w:val="00AE698E"/>
    <w:rsid w:val="00AF577B"/>
    <w:rsid w:val="00B51229"/>
    <w:rsid w:val="00B6498C"/>
    <w:rsid w:val="00B8264E"/>
    <w:rsid w:val="00B92418"/>
    <w:rsid w:val="00BB53C0"/>
    <w:rsid w:val="00BE200E"/>
    <w:rsid w:val="00C02D9A"/>
    <w:rsid w:val="00C10B53"/>
    <w:rsid w:val="00C13240"/>
    <w:rsid w:val="00C34258"/>
    <w:rsid w:val="00C54488"/>
    <w:rsid w:val="00C62E5A"/>
    <w:rsid w:val="00C666D5"/>
    <w:rsid w:val="00CA01DE"/>
    <w:rsid w:val="00CA18B4"/>
    <w:rsid w:val="00CA46EA"/>
    <w:rsid w:val="00CB78EA"/>
    <w:rsid w:val="00CE100E"/>
    <w:rsid w:val="00CE6E55"/>
    <w:rsid w:val="00CF0E7A"/>
    <w:rsid w:val="00CF2BDF"/>
    <w:rsid w:val="00D2404A"/>
    <w:rsid w:val="00D3217C"/>
    <w:rsid w:val="00D5797B"/>
    <w:rsid w:val="00D74332"/>
    <w:rsid w:val="00D836D0"/>
    <w:rsid w:val="00D84D79"/>
    <w:rsid w:val="00DC56AB"/>
    <w:rsid w:val="00DD64E1"/>
    <w:rsid w:val="00DF0448"/>
    <w:rsid w:val="00DF7A9B"/>
    <w:rsid w:val="00E16552"/>
    <w:rsid w:val="00E267B7"/>
    <w:rsid w:val="00E33BFE"/>
    <w:rsid w:val="00E54F00"/>
    <w:rsid w:val="00E7323B"/>
    <w:rsid w:val="00EA5F6E"/>
    <w:rsid w:val="00ED1C30"/>
    <w:rsid w:val="00EF27A2"/>
    <w:rsid w:val="00F16308"/>
    <w:rsid w:val="00F46C99"/>
    <w:rsid w:val="00FC04E6"/>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CB63-86B4-4AC2-8BAE-54585503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7065</Words>
  <Characters>40277</Characters>
  <Application>Microsoft Office Word</Application>
  <DocSecurity>0</DocSecurity>
  <Lines>335</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Beale, Martin</cp:lastModifiedBy>
  <cp:revision>30</cp:revision>
  <dcterms:created xsi:type="dcterms:W3CDTF">2020-08-19T12:37:00Z</dcterms:created>
  <dcterms:modified xsi:type="dcterms:W3CDTF">2020-08-19T22:46:00Z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ies>
</file>