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hint="eastAsia"/>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等线" w:eastAsia="等线" w:hAnsi="等线" w:hint="eastAsia"/>
                <w:lang w:val="en-US" w:eastAsia="zh-CN"/>
              </w:rPr>
              <w:t>Xiaomi</w:t>
            </w:r>
          </w:p>
        </w:tc>
        <w:tc>
          <w:tcPr>
            <w:tcW w:w="1350" w:type="dxa"/>
          </w:tcPr>
          <w:p w14:paraId="5B1C103A" w14:textId="2B7BCFCA" w:rsidR="00DC56AB" w:rsidRDefault="00DC56AB" w:rsidP="00DC56AB">
            <w:pPr>
              <w:rPr>
                <w:lang w:val="en-US" w:eastAsia="ko-KR"/>
              </w:rPr>
            </w:pPr>
            <w:r>
              <w:rPr>
                <w:rFonts w:ascii="等线" w:eastAsia="等线" w:hAnsi="等线" w:hint="eastAsia"/>
                <w:lang w:val="en-US" w:eastAsia="zh-CN"/>
              </w:rPr>
              <w:t>Y</w:t>
            </w:r>
          </w:p>
        </w:tc>
        <w:tc>
          <w:tcPr>
            <w:tcW w:w="6801" w:type="dxa"/>
          </w:tcPr>
          <w:p w14:paraId="5EA76E64" w14:textId="47DF3813" w:rsidR="00DC56AB" w:rsidRDefault="00DC56AB" w:rsidP="00DC56AB">
            <w:pPr>
              <w:rPr>
                <w:lang w:val="en-US"/>
              </w:rPr>
            </w:pPr>
            <w:r>
              <w:rPr>
                <w:rFonts w:ascii="等线" w:eastAsia="等线" w:hAnsi="等线" w:hint="eastAsia"/>
                <w:lang w:val="en-US" w:eastAsia="zh-CN"/>
              </w:rPr>
              <w:t>20</w:t>
            </w:r>
            <w:r>
              <w:rPr>
                <w:rFonts w:ascii="等线" w:eastAsia="等线" w:hAnsi="等线"/>
                <w:lang w:val="en-US" w:eastAsia="zh-CN"/>
              </w:rPr>
              <w:t xml:space="preserve">M </w:t>
            </w:r>
            <w:r>
              <w:rPr>
                <w:rFonts w:ascii="等线" w:eastAsia="等线" w:hAnsi="等线" w:hint="eastAsia"/>
                <w:lang w:val="en-US" w:eastAsia="zh-CN"/>
              </w:rPr>
              <w:t>bandwidth</w:t>
            </w:r>
            <w:r>
              <w:rPr>
                <w:rFonts w:ascii="等线" w:eastAsia="等线" w:hAnsi="等线"/>
                <w:lang w:val="en-US" w:eastAsia="zh-CN"/>
              </w:rPr>
              <w:t xml:space="preserve"> </w:t>
            </w:r>
            <w:r>
              <w:rPr>
                <w:rFonts w:ascii="等线" w:eastAsia="等线" w:hAnsi="等线" w:hint="eastAsia"/>
                <w:lang w:val="en-US" w:eastAsia="zh-CN"/>
              </w:rPr>
              <w:t>and</w:t>
            </w:r>
            <w:r>
              <w:rPr>
                <w:rFonts w:ascii="等线" w:eastAsia="等线" w:hAnsi="等线"/>
                <w:lang w:val="en-US" w:eastAsia="zh-CN"/>
              </w:rPr>
              <w:t xml:space="preserve"> 1Rx/</w:t>
            </w:r>
            <w:r>
              <w:rPr>
                <w:rFonts w:ascii="等线" w:eastAsia="等线" w:hAnsi="等线" w:hint="eastAsia"/>
                <w:lang w:val="en-US" w:eastAsia="zh-CN"/>
              </w:rPr>
              <w:t>1Tx</w:t>
            </w:r>
            <w:r>
              <w:rPr>
                <w:rFonts w:ascii="等线" w:eastAsia="等线" w:hAnsi="等线"/>
                <w:lang w:val="en-US" w:eastAsia="zh-CN"/>
              </w:rPr>
              <w:t xml:space="preserve"> should </w:t>
            </w:r>
            <w:r>
              <w:rPr>
                <w:rFonts w:ascii="等线" w:eastAsia="等线" w:hAnsi="等线" w:hint="eastAsia"/>
                <w:lang w:val="en-US" w:eastAsia="zh-CN"/>
              </w:rPr>
              <w:t>be</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o</w:t>
            </w:r>
            <w:r>
              <w:rPr>
                <w:rFonts w:ascii="等线" w:eastAsia="等线" w:hAnsi="等线"/>
                <w:lang w:val="en-US" w:eastAsia="zh-CN"/>
              </w:rPr>
              <w:t>ne of them, as the base type.</w:t>
            </w:r>
          </w:p>
        </w:tc>
      </w:tr>
    </w:tbl>
    <w:p w14:paraId="28EEED9C" w14:textId="77777777"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w:t>
            </w:r>
            <w:r>
              <w:rPr>
                <w:lang w:eastAsia="ja-JP"/>
              </w:rPr>
              <w:lastRenderedPageBreak/>
              <w:t xml:space="preserve">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lastRenderedPageBreak/>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lastRenderedPageBreak/>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lastRenderedPageBreak/>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bookmarkStart w:id="6" w:name="_GoBack" w:colFirst="0" w:colLast="0"/>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bookmarkEnd w:id="6"/>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lastRenderedPageBreak/>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lastRenderedPageBreak/>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77777777" w:rsidR="00B8264E" w:rsidRDefault="00B8264E" w:rsidP="00B8264E">
            <w:pPr>
              <w:rPr>
                <w:lang w:val="en-US"/>
              </w:rPr>
            </w:pPr>
          </w:p>
        </w:tc>
        <w:tc>
          <w:tcPr>
            <w:tcW w:w="4106" w:type="pct"/>
            <w:shd w:val="clear" w:color="auto" w:fill="auto"/>
          </w:tcPr>
          <w:p w14:paraId="473510A5" w14:textId="77777777" w:rsidR="00B8264E" w:rsidRDefault="00B8264E" w:rsidP="00B8264E">
            <w:pPr>
              <w:rPr>
                <w:lang w:val="en-US"/>
              </w:rPr>
            </w:pP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9A1CBF"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9A1CBF"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9A1CBF"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9A1CBF"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9A1CBF"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9A1CBF"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9A1CBF"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9A1CBF"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9A1CBF"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9A1CBF"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9A1CBF"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9A1CBF"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9A1CBF"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9A1CBF"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9A1CBF"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9A1CBF"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9A1CBF"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9A1CBF"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9A1CBF"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9A1CBF"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9A1CBF"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9A1CBF"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6E741" w14:textId="77777777" w:rsidR="009A1CBF" w:rsidRDefault="009A1CBF" w:rsidP="00260B5F">
      <w:r>
        <w:separator/>
      </w:r>
    </w:p>
  </w:endnote>
  <w:endnote w:type="continuationSeparator" w:id="0">
    <w:p w14:paraId="1259C0A5" w14:textId="77777777" w:rsidR="009A1CBF" w:rsidRDefault="009A1CBF"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957D" w14:textId="77777777" w:rsidR="009A1CBF" w:rsidRDefault="009A1CBF" w:rsidP="00260B5F">
      <w:r>
        <w:separator/>
      </w:r>
    </w:p>
  </w:footnote>
  <w:footnote w:type="continuationSeparator" w:id="0">
    <w:p w14:paraId="7526BE0E" w14:textId="77777777" w:rsidR="009A1CBF" w:rsidRDefault="009A1CBF"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80F84"/>
    <w:rsid w:val="002B3A76"/>
    <w:rsid w:val="002E03C3"/>
    <w:rsid w:val="002E3030"/>
    <w:rsid w:val="00350827"/>
    <w:rsid w:val="00377685"/>
    <w:rsid w:val="003A25CA"/>
    <w:rsid w:val="00451E62"/>
    <w:rsid w:val="004541EF"/>
    <w:rsid w:val="00470F8A"/>
    <w:rsid w:val="00492E32"/>
    <w:rsid w:val="00506C04"/>
    <w:rsid w:val="0050781F"/>
    <w:rsid w:val="00530AAC"/>
    <w:rsid w:val="0055338C"/>
    <w:rsid w:val="00573E5B"/>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A5F3A"/>
    <w:rsid w:val="008D258D"/>
    <w:rsid w:val="008D5245"/>
    <w:rsid w:val="008F4AF6"/>
    <w:rsid w:val="008F5E07"/>
    <w:rsid w:val="00992432"/>
    <w:rsid w:val="009A1CBF"/>
    <w:rsid w:val="009B186E"/>
    <w:rsid w:val="009B5685"/>
    <w:rsid w:val="009C12EC"/>
    <w:rsid w:val="009C7AD4"/>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C56AB"/>
    <w:rsid w:val="00DD64E1"/>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C1B6-7B1F-4CB9-910A-696E8D18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5822</Words>
  <Characters>33186</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乔雪梅</cp:lastModifiedBy>
  <cp:revision>4</cp:revision>
  <dcterms:created xsi:type="dcterms:W3CDTF">2020-08-19T09:53:00Z</dcterms:created>
  <dcterms:modified xsi:type="dcterms:W3CDTF">2020-08-19T10:05:00Z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