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DE5B" w14:textId="77777777" w:rsidR="005A5F17" w:rsidRPr="002956E8" w:rsidRDefault="005A5F17" w:rsidP="005A5F17">
      <w:pPr>
        <w:tabs>
          <w:tab w:val="center" w:pos="4536"/>
          <w:tab w:val="right" w:pos="8280"/>
          <w:tab w:val="right" w:pos="9639"/>
        </w:tabs>
        <w:ind w:right="2"/>
        <w:rPr>
          <w:rFonts w:ascii="Arial" w:eastAsia="MS Gothic" w:hAnsi="Arial" w:cs="Arial"/>
          <w:b/>
          <w:bCs/>
          <w:sz w:val="24"/>
          <w:szCs w:val="20"/>
          <w:lang w:eastAsia="ja-JP"/>
        </w:rPr>
      </w:pPr>
      <w:r w:rsidRPr="002956E8">
        <w:rPr>
          <w:rFonts w:ascii="Arial" w:eastAsia="MS Gothic" w:hAnsi="Arial" w:cs="Arial"/>
          <w:b/>
          <w:bCs/>
          <w:sz w:val="24"/>
          <w:szCs w:val="20"/>
          <w:lang w:eastAsia="ja-JP"/>
        </w:rPr>
        <w:t>3GPP TSG RAN WG1 #102-e</w:t>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6"/>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6"/>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a6"/>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hint="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hint="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bl>
    <w:p w14:paraId="540A7CE0" w14:textId="77777777" w:rsidR="005A5F17" w:rsidRPr="00B02814" w:rsidRDefault="005A5F17" w:rsidP="005A5F17">
      <w:pPr>
        <w:jc w:val="both"/>
        <w:rPr>
          <w:rFonts w:eastAsia="宋体"/>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lastRenderedPageBreak/>
        <w:t>FL proposal#2:</w:t>
      </w:r>
    </w:p>
    <w:p w14:paraId="59382DD0" w14:textId="2003D871" w:rsidR="005A5F17" w:rsidRPr="005D6757" w:rsidRDefault="005A5F17" w:rsidP="005A5F17">
      <w:pPr>
        <w:pStyle w:val="a6"/>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6"/>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6"/>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hint="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hint="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hint="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bl>
    <w:p w14:paraId="2F8FCB32" w14:textId="4E93367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宋体"/>
                <w:b/>
                <w:lang w:eastAsia="zh-CN"/>
              </w:rPr>
            </w:pPr>
            <w:bookmarkStart w:id="2"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2"/>
          <w:p w14:paraId="7D6A20C1" w14:textId="77777777" w:rsidR="005A5F17" w:rsidRDefault="005A5F17" w:rsidP="0067741F">
            <w:pPr>
              <w:pStyle w:val="a3"/>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6"/>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lastRenderedPageBreak/>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5"/>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lastRenderedPageBreak/>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6"/>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6"/>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a6"/>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6"/>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hint="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hint="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hint="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bl>
    <w:p w14:paraId="6B853F76" w14:textId="77777777"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lastRenderedPageBreak/>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6"/>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a6"/>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lastRenderedPageBreak/>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6"/>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5"/>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rFonts w:hint="eastAsia"/>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lastRenderedPageBreak/>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宋体"/>
                <w:b/>
                <w:lang w:eastAsia="zh-CN"/>
              </w:rPr>
            </w:pPr>
            <w:bookmarkStart w:id="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a6"/>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bl>
    <w:p w14:paraId="63F62DEC" w14:textId="77777777" w:rsidR="005A5F17" w:rsidRDefault="005A5F17" w:rsidP="005A5F17">
      <w:pPr>
        <w:rPr>
          <w:rFonts w:eastAsia="Yu Mincho"/>
          <w:u w:val="single"/>
          <w:lang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a6"/>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a6"/>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a6"/>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6"/>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rFonts w:hint="eastAsia"/>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bl>
    <w:p w14:paraId="1AD6E6F1" w14:textId="77777777" w:rsidR="005A5F17" w:rsidRDefault="005A5F17" w:rsidP="005A5F17">
      <w:pPr>
        <w:rPr>
          <w:rFonts w:eastAsia="Yu Mincho"/>
          <w:u w:val="single"/>
          <w:lang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lastRenderedPageBreak/>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6"/>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6"/>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6"/>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6"/>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6"/>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6"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7" w:name="p6"/>
            <w:bookmarkEnd w:id="6"/>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6"/>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8" w:name="p7"/>
            <w:bookmarkEnd w:id="7"/>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6"/>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6"/>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9" w:name="p8"/>
            <w:bookmarkEnd w:id="8"/>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bCs/>
                <w:i/>
                <w:iCs/>
              </w:rPr>
            </w:pPr>
            <w:r>
              <w:rPr>
                <w:b/>
                <w:bCs/>
                <w:i/>
                <w:iCs/>
              </w:rPr>
              <w:lastRenderedPageBreak/>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0" w:name="p9"/>
            <w:bookmarkEnd w:id="9"/>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0"/>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a6"/>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6"/>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5"/>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bookmarkStart w:id="11" w:name="_GoBack" w:colFirst="0" w:colLast="1"/>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bookmarkEnd w:id="11"/>
    </w:tbl>
    <w:p w14:paraId="6AA5B3FE" w14:textId="77777777" w:rsidR="005A5F17"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5"/>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lastRenderedPageBreak/>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D2404A" w14:paraId="22E0687D" w14:textId="77777777" w:rsidTr="0067741F">
        <w:tc>
          <w:tcPr>
            <w:tcW w:w="894" w:type="pct"/>
            <w:shd w:val="clear" w:color="auto" w:fill="auto"/>
          </w:tcPr>
          <w:p w14:paraId="7B594CEC" w14:textId="77777777" w:rsidR="00D2404A" w:rsidRDefault="00D2404A" w:rsidP="0067741F">
            <w:pPr>
              <w:rPr>
                <w:lang w:val="en-US" w:eastAsia="ko-KR"/>
              </w:rPr>
            </w:pPr>
          </w:p>
        </w:tc>
        <w:tc>
          <w:tcPr>
            <w:tcW w:w="4106" w:type="pct"/>
            <w:shd w:val="clear" w:color="auto" w:fill="auto"/>
          </w:tcPr>
          <w:p w14:paraId="2BE8F3DE" w14:textId="77777777" w:rsidR="00D2404A" w:rsidRDefault="00D2404A" w:rsidP="0067741F">
            <w:pPr>
              <w:rPr>
                <w:lang w:val="en-US"/>
              </w:rPr>
            </w:pPr>
          </w:p>
        </w:tc>
      </w:tr>
      <w:tr w:rsidR="00D2404A" w14:paraId="59CC6727" w14:textId="77777777" w:rsidTr="0067741F">
        <w:tc>
          <w:tcPr>
            <w:tcW w:w="894" w:type="pct"/>
            <w:shd w:val="clear" w:color="auto" w:fill="auto"/>
          </w:tcPr>
          <w:p w14:paraId="161538E9" w14:textId="77777777" w:rsidR="00D2404A" w:rsidRDefault="00D2404A" w:rsidP="0067741F">
            <w:pPr>
              <w:rPr>
                <w:lang w:val="en-US"/>
              </w:rPr>
            </w:pPr>
          </w:p>
        </w:tc>
        <w:tc>
          <w:tcPr>
            <w:tcW w:w="4106" w:type="pct"/>
            <w:shd w:val="clear" w:color="auto" w:fill="auto"/>
          </w:tcPr>
          <w:p w14:paraId="473510A5" w14:textId="77777777" w:rsidR="00D2404A" w:rsidRDefault="00D2404A" w:rsidP="0067741F">
            <w:pPr>
              <w:rPr>
                <w:lang w:val="en-US"/>
              </w:rPr>
            </w:pPr>
          </w:p>
        </w:tc>
      </w:tr>
      <w:tr w:rsidR="00D2404A" w14:paraId="776187A1" w14:textId="77777777" w:rsidTr="0067741F">
        <w:tc>
          <w:tcPr>
            <w:tcW w:w="894" w:type="pct"/>
            <w:shd w:val="clear" w:color="auto" w:fill="auto"/>
          </w:tcPr>
          <w:p w14:paraId="119E1B83" w14:textId="77777777" w:rsidR="00D2404A" w:rsidRDefault="00D2404A" w:rsidP="0067741F">
            <w:pPr>
              <w:rPr>
                <w:lang w:val="en-US"/>
              </w:rPr>
            </w:pPr>
          </w:p>
        </w:tc>
        <w:tc>
          <w:tcPr>
            <w:tcW w:w="4106" w:type="pct"/>
            <w:shd w:val="clear" w:color="auto" w:fill="auto"/>
          </w:tcPr>
          <w:p w14:paraId="799229FB" w14:textId="77777777" w:rsidR="00D2404A" w:rsidRDefault="00D2404A" w:rsidP="0067741F">
            <w:pPr>
              <w:rPr>
                <w:lang w:val="en-US"/>
              </w:rPr>
            </w:pPr>
          </w:p>
        </w:tc>
      </w:tr>
      <w:tr w:rsidR="00D2404A" w14:paraId="49B25790" w14:textId="77777777" w:rsidTr="0067741F">
        <w:tc>
          <w:tcPr>
            <w:tcW w:w="894" w:type="pct"/>
            <w:shd w:val="clear" w:color="auto" w:fill="auto"/>
          </w:tcPr>
          <w:p w14:paraId="739D18A8" w14:textId="77777777" w:rsidR="00D2404A" w:rsidRDefault="00D2404A" w:rsidP="0067741F">
            <w:pPr>
              <w:rPr>
                <w:lang w:val="en-US"/>
              </w:rPr>
            </w:pPr>
          </w:p>
        </w:tc>
        <w:tc>
          <w:tcPr>
            <w:tcW w:w="4106" w:type="pct"/>
            <w:shd w:val="clear" w:color="auto" w:fill="auto"/>
          </w:tcPr>
          <w:p w14:paraId="6CC7D7E5" w14:textId="77777777" w:rsidR="00D2404A" w:rsidRDefault="00D2404A" w:rsidP="0067741F">
            <w:pPr>
              <w:rPr>
                <w:lang w:val="en-US"/>
              </w:rPr>
            </w:pPr>
          </w:p>
        </w:tc>
      </w:tr>
      <w:tr w:rsidR="00D2404A" w14:paraId="17FE9319" w14:textId="77777777" w:rsidTr="0067741F">
        <w:tc>
          <w:tcPr>
            <w:tcW w:w="894" w:type="pct"/>
            <w:shd w:val="clear" w:color="auto" w:fill="auto"/>
          </w:tcPr>
          <w:p w14:paraId="59D61464" w14:textId="77777777" w:rsidR="00D2404A" w:rsidRDefault="00D2404A" w:rsidP="0067741F">
            <w:pPr>
              <w:rPr>
                <w:lang w:val="en-US"/>
              </w:rPr>
            </w:pPr>
          </w:p>
        </w:tc>
        <w:tc>
          <w:tcPr>
            <w:tcW w:w="4106" w:type="pct"/>
            <w:shd w:val="clear" w:color="auto" w:fill="auto"/>
          </w:tcPr>
          <w:p w14:paraId="04D91B72" w14:textId="77777777" w:rsidR="00D2404A" w:rsidRDefault="00D2404A" w:rsidP="0067741F">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492E32" w:rsidP="005A5F17">
      <w:pPr>
        <w:pStyle w:val="a6"/>
        <w:numPr>
          <w:ilvl w:val="0"/>
          <w:numId w:val="18"/>
        </w:numPr>
        <w:ind w:leftChars="0"/>
      </w:pPr>
      <w:hyperlink r:id="rId8" w:history="1">
        <w:r w:rsidR="005A5F17">
          <w:rPr>
            <w:rStyle w:val="a4"/>
          </w:rPr>
          <w:t>R1-2005237</w:t>
        </w:r>
      </w:hyperlink>
      <w:r w:rsidR="005A5F17">
        <w:tab/>
        <w:t>Framework and principles for RedCap</w:t>
      </w:r>
      <w:r w:rsidR="005A5F17">
        <w:tab/>
        <w:t>Ericsson</w:t>
      </w:r>
    </w:p>
    <w:p w14:paraId="47A62880" w14:textId="77777777" w:rsidR="005A5F17" w:rsidRDefault="00492E32" w:rsidP="005A5F17">
      <w:pPr>
        <w:pStyle w:val="a6"/>
        <w:numPr>
          <w:ilvl w:val="0"/>
          <w:numId w:val="18"/>
        </w:numPr>
        <w:ind w:leftChars="0"/>
      </w:pPr>
      <w:hyperlink r:id="rId9" w:history="1">
        <w:r w:rsidR="005A5F17">
          <w:rPr>
            <w:rStyle w:val="a4"/>
          </w:rPr>
          <w:t>R1-2005279</w:t>
        </w:r>
      </w:hyperlink>
      <w:r w:rsidR="005A5F17">
        <w:tab/>
        <w:t>Framework for RedCap UEs</w:t>
      </w:r>
      <w:r w:rsidR="005A5F17">
        <w:tab/>
        <w:t>FUTUREWEI</w:t>
      </w:r>
    </w:p>
    <w:p w14:paraId="4C6C8925" w14:textId="77777777" w:rsidR="005A5F17" w:rsidRDefault="00492E32" w:rsidP="005A5F17">
      <w:pPr>
        <w:pStyle w:val="a6"/>
        <w:numPr>
          <w:ilvl w:val="0"/>
          <w:numId w:val="18"/>
        </w:numPr>
        <w:ind w:leftChars="0"/>
      </w:pPr>
      <w:hyperlink r:id="rId10" w:history="1">
        <w:r w:rsidR="005A5F17">
          <w:rPr>
            <w:rStyle w:val="a4"/>
          </w:rPr>
          <w:t>R1-2005386</w:t>
        </w:r>
      </w:hyperlink>
      <w:r w:rsidR="005A5F17">
        <w:tab/>
        <w:t>Framework and Principles for Reduced Capability</w:t>
      </w:r>
      <w:r w:rsidR="005A5F17">
        <w:tab/>
        <w:t>vivo, Guangdong Genius</w:t>
      </w:r>
    </w:p>
    <w:p w14:paraId="7AD637B0" w14:textId="77777777" w:rsidR="005A5F17" w:rsidRDefault="00492E32" w:rsidP="005A5F17">
      <w:pPr>
        <w:pStyle w:val="a6"/>
        <w:numPr>
          <w:ilvl w:val="0"/>
          <w:numId w:val="18"/>
        </w:numPr>
        <w:ind w:leftChars="0"/>
      </w:pPr>
      <w:hyperlink r:id="rId11" w:history="1">
        <w:r w:rsidR="005A5F17">
          <w:rPr>
            <w:rStyle w:val="a4"/>
          </w:rPr>
          <w:t>R1-2005477</w:t>
        </w:r>
      </w:hyperlink>
      <w:r w:rsidR="005A5F17">
        <w:tab/>
        <w:t>Views on Framework and Principles for Reduced Capability</w:t>
      </w:r>
      <w:r w:rsidR="005A5F17">
        <w:tab/>
        <w:t>ZTE</w:t>
      </w:r>
    </w:p>
    <w:p w14:paraId="072366AF" w14:textId="77777777" w:rsidR="005A5F17" w:rsidRDefault="00492E32" w:rsidP="005A5F17">
      <w:pPr>
        <w:pStyle w:val="a6"/>
        <w:numPr>
          <w:ilvl w:val="0"/>
          <w:numId w:val="18"/>
        </w:numPr>
        <w:ind w:leftChars="0"/>
      </w:pPr>
      <w:hyperlink r:id="rId12" w:history="1">
        <w:r w:rsidR="005A5F17">
          <w:rPr>
            <w:rStyle w:val="a4"/>
          </w:rPr>
          <w:t>R1-2005528</w:t>
        </w:r>
      </w:hyperlink>
      <w:r w:rsidR="005A5F17">
        <w:tab/>
        <w:t>Framework and Principles for Reduced Capability</w:t>
      </w:r>
      <w:r w:rsidR="005A5F17">
        <w:tab/>
        <w:t>Nokia, Nokia Shanghai Bell</w:t>
      </w:r>
    </w:p>
    <w:p w14:paraId="7426F1E8" w14:textId="77777777" w:rsidR="005A5F17" w:rsidRDefault="00492E32" w:rsidP="005A5F17">
      <w:pPr>
        <w:pStyle w:val="a6"/>
        <w:numPr>
          <w:ilvl w:val="0"/>
          <w:numId w:val="18"/>
        </w:numPr>
        <w:ind w:leftChars="0"/>
      </w:pPr>
      <w:hyperlink r:id="rId13" w:history="1">
        <w:r w:rsidR="005A5F17">
          <w:rPr>
            <w:rStyle w:val="a4"/>
          </w:rPr>
          <w:t>R1-2005640</w:t>
        </w:r>
      </w:hyperlink>
      <w:r w:rsidR="005A5F17">
        <w:tab/>
        <w:t>On the framework for RedCap UEs</w:t>
      </w:r>
      <w:r w:rsidR="005A5F17">
        <w:tab/>
        <w:t>MediaTek Inc.</w:t>
      </w:r>
    </w:p>
    <w:p w14:paraId="151B432D" w14:textId="77777777" w:rsidR="005A5F17" w:rsidRDefault="00492E32" w:rsidP="005A5F17">
      <w:pPr>
        <w:pStyle w:val="a6"/>
        <w:numPr>
          <w:ilvl w:val="0"/>
          <w:numId w:val="18"/>
        </w:numPr>
        <w:ind w:leftChars="0"/>
      </w:pPr>
      <w:hyperlink r:id="rId14" w:history="1">
        <w:r w:rsidR="005A5F17">
          <w:rPr>
            <w:rStyle w:val="a4"/>
          </w:rPr>
          <w:t>R1-2005717</w:t>
        </w:r>
      </w:hyperlink>
      <w:r w:rsidR="005A5F17">
        <w:tab/>
        <w:t>Framework and principles for reduced capability NR devices</w:t>
      </w:r>
      <w:r w:rsidR="005A5F17">
        <w:tab/>
        <w:t>CATT</w:t>
      </w:r>
    </w:p>
    <w:p w14:paraId="51ECCC6B" w14:textId="77777777" w:rsidR="005A5F17" w:rsidRDefault="00492E32" w:rsidP="005A5F17">
      <w:pPr>
        <w:pStyle w:val="a6"/>
        <w:numPr>
          <w:ilvl w:val="0"/>
          <w:numId w:val="18"/>
        </w:numPr>
        <w:ind w:leftChars="0"/>
      </w:pPr>
      <w:hyperlink r:id="rId15" w:history="1">
        <w:r w:rsidR="005A5F17">
          <w:rPr>
            <w:rStyle w:val="a4"/>
          </w:rPr>
          <w:t>R1-2005832</w:t>
        </w:r>
      </w:hyperlink>
      <w:r w:rsidR="005A5F17">
        <w:tab/>
        <w:t>On Framework and Principles for RedCap</w:t>
      </w:r>
      <w:r w:rsidR="005A5F17">
        <w:tab/>
        <w:t>Lenovo, Motorola Mobility</w:t>
      </w:r>
    </w:p>
    <w:p w14:paraId="046B121F" w14:textId="77777777" w:rsidR="005A5F17" w:rsidRDefault="00492E32" w:rsidP="005A5F17">
      <w:pPr>
        <w:pStyle w:val="a6"/>
        <w:numPr>
          <w:ilvl w:val="0"/>
          <w:numId w:val="18"/>
        </w:numPr>
        <w:ind w:leftChars="0"/>
      </w:pPr>
      <w:hyperlink r:id="rId16" w:history="1">
        <w:r w:rsidR="005A5F17">
          <w:rPr>
            <w:rStyle w:val="a4"/>
          </w:rPr>
          <w:t>R1-2005883</w:t>
        </w:r>
      </w:hyperlink>
      <w:r w:rsidR="005A5F17">
        <w:tab/>
        <w:t>Introducing NR RedCap UEs: Overall framework</w:t>
      </w:r>
      <w:r w:rsidR="005A5F17">
        <w:tab/>
        <w:t>Intel Corporation</w:t>
      </w:r>
    </w:p>
    <w:p w14:paraId="1AA2DC4C" w14:textId="77777777" w:rsidR="005A5F17" w:rsidRDefault="00492E32" w:rsidP="005A5F17">
      <w:pPr>
        <w:pStyle w:val="a6"/>
        <w:numPr>
          <w:ilvl w:val="0"/>
          <w:numId w:val="18"/>
        </w:numPr>
        <w:ind w:leftChars="0"/>
      </w:pPr>
      <w:hyperlink r:id="rId17" w:history="1">
        <w:r w:rsidR="005A5F17">
          <w:rPr>
            <w:rStyle w:val="a4"/>
          </w:rPr>
          <w:t>R1-2005971</w:t>
        </w:r>
      </w:hyperlink>
      <w:r w:rsidR="005A5F17">
        <w:tab/>
        <w:t>Discussion on framework and principles for reduced capability device</w:t>
      </w:r>
      <w:r w:rsidR="005A5F17">
        <w:tab/>
        <w:t>Beijing Xiaomi Software Tech</w:t>
      </w:r>
    </w:p>
    <w:p w14:paraId="74EA0973" w14:textId="77777777" w:rsidR="005A5F17" w:rsidRDefault="00492E32" w:rsidP="005A5F17">
      <w:pPr>
        <w:pStyle w:val="a6"/>
        <w:numPr>
          <w:ilvl w:val="0"/>
          <w:numId w:val="18"/>
        </w:numPr>
        <w:ind w:leftChars="0"/>
      </w:pPr>
      <w:hyperlink r:id="rId18" w:history="1">
        <w:r w:rsidR="005A5F17">
          <w:rPr>
            <w:rStyle w:val="a4"/>
          </w:rPr>
          <w:t>R1-2006039</w:t>
        </w:r>
      </w:hyperlink>
      <w:r w:rsidR="005A5F17">
        <w:tab/>
        <w:t>Consideration on reduced UE capability</w:t>
      </w:r>
      <w:r w:rsidR="005A5F17">
        <w:tab/>
        <w:t>OPPO</w:t>
      </w:r>
    </w:p>
    <w:p w14:paraId="517989AC" w14:textId="77777777" w:rsidR="005A5F17" w:rsidRDefault="00492E32" w:rsidP="005A5F17">
      <w:pPr>
        <w:pStyle w:val="a6"/>
        <w:numPr>
          <w:ilvl w:val="0"/>
          <w:numId w:val="18"/>
        </w:numPr>
        <w:ind w:leftChars="0"/>
      </w:pPr>
      <w:hyperlink r:id="rId19" w:history="1">
        <w:r w:rsidR="005A5F17">
          <w:rPr>
            <w:rStyle w:val="a4"/>
          </w:rPr>
          <w:t>R1-2006155</w:t>
        </w:r>
      </w:hyperlink>
      <w:r w:rsidR="005A5F17">
        <w:tab/>
        <w:t>Framework and Principles for Reduced Capability</w:t>
      </w:r>
      <w:r w:rsidR="005A5F17">
        <w:tab/>
        <w:t>Samsung</w:t>
      </w:r>
    </w:p>
    <w:p w14:paraId="3EA35FEE" w14:textId="77777777" w:rsidR="005A5F17" w:rsidRDefault="00492E32" w:rsidP="005A5F17">
      <w:pPr>
        <w:pStyle w:val="a6"/>
        <w:numPr>
          <w:ilvl w:val="0"/>
          <w:numId w:val="18"/>
        </w:numPr>
        <w:ind w:leftChars="0"/>
      </w:pPr>
      <w:hyperlink r:id="rId20" w:history="1">
        <w:r w:rsidR="005A5F17">
          <w:rPr>
            <w:rStyle w:val="a4"/>
          </w:rPr>
          <w:t>R1-2006220</w:t>
        </w:r>
      </w:hyperlink>
      <w:r w:rsidR="005A5F17">
        <w:tab/>
        <w:t>Discussion on principles and framework of reduced capability NR</w:t>
      </w:r>
      <w:r w:rsidR="005A5F17">
        <w:tab/>
        <w:t>CMCC</w:t>
      </w:r>
    </w:p>
    <w:p w14:paraId="1CA3FC23" w14:textId="77777777" w:rsidR="005A5F17" w:rsidRDefault="00492E32" w:rsidP="005A5F17">
      <w:pPr>
        <w:pStyle w:val="a6"/>
        <w:numPr>
          <w:ilvl w:val="0"/>
          <w:numId w:val="18"/>
        </w:numPr>
        <w:ind w:leftChars="0"/>
      </w:pPr>
      <w:hyperlink r:id="rId21" w:history="1">
        <w:r w:rsidR="005A5F17">
          <w:rPr>
            <w:rStyle w:val="a4"/>
          </w:rPr>
          <w:t>R1-2006287</w:t>
        </w:r>
      </w:hyperlink>
      <w:r w:rsidR="005A5F17">
        <w:tab/>
        <w:t>Discussion on Framework and Principles for Reduced Capability</w:t>
      </w:r>
      <w:r w:rsidR="005A5F17">
        <w:tab/>
        <w:t>Spreadtrum Communications</w:t>
      </w:r>
    </w:p>
    <w:p w14:paraId="5A0C99EA" w14:textId="77777777" w:rsidR="005A5F17" w:rsidRDefault="00492E32" w:rsidP="005A5F17">
      <w:pPr>
        <w:pStyle w:val="a6"/>
        <w:numPr>
          <w:ilvl w:val="0"/>
          <w:numId w:val="18"/>
        </w:numPr>
        <w:ind w:leftChars="0"/>
      </w:pPr>
      <w:hyperlink r:id="rId22" w:history="1">
        <w:r w:rsidR="005A5F17">
          <w:rPr>
            <w:rStyle w:val="a4"/>
          </w:rPr>
          <w:t>R1-2006309</w:t>
        </w:r>
      </w:hyperlink>
      <w:r w:rsidR="005A5F17">
        <w:tab/>
        <w:t>Consideration on the framework to support reduced capability NR devices</w:t>
      </w:r>
      <w:r w:rsidR="005A5F17">
        <w:tab/>
        <w:t>LG Electronics</w:t>
      </w:r>
    </w:p>
    <w:p w14:paraId="30797FA0" w14:textId="77777777" w:rsidR="005A5F17" w:rsidRDefault="00492E32" w:rsidP="005A5F17">
      <w:pPr>
        <w:pStyle w:val="a6"/>
        <w:numPr>
          <w:ilvl w:val="0"/>
          <w:numId w:val="18"/>
        </w:numPr>
        <w:ind w:leftChars="0"/>
      </w:pPr>
      <w:hyperlink r:id="rId23" w:history="1">
        <w:r w:rsidR="005A5F17">
          <w:rPr>
            <w:rStyle w:val="a4"/>
          </w:rPr>
          <w:t>R1-2006388</w:t>
        </w:r>
      </w:hyperlink>
      <w:r w:rsidR="005A5F17">
        <w:tab/>
        <w:t>Discussion on Framework and Principles for Reduced Capability</w:t>
      </w:r>
      <w:r w:rsidR="005A5F17">
        <w:tab/>
        <w:t>Panasonic</w:t>
      </w:r>
    </w:p>
    <w:p w14:paraId="4021D9E4" w14:textId="77777777" w:rsidR="005A5F17" w:rsidRDefault="00492E32" w:rsidP="005A5F17">
      <w:pPr>
        <w:pStyle w:val="a6"/>
        <w:numPr>
          <w:ilvl w:val="0"/>
          <w:numId w:val="18"/>
        </w:numPr>
        <w:ind w:leftChars="0"/>
      </w:pPr>
      <w:hyperlink r:id="rId24" w:history="1">
        <w:r w:rsidR="005A5F17">
          <w:rPr>
            <w:rStyle w:val="a4"/>
          </w:rPr>
          <w:t>R1-2006406</w:t>
        </w:r>
      </w:hyperlink>
      <w:r w:rsidR="005A5F17">
        <w:tab/>
        <w:t>Framework and principles for reduced capability devices</w:t>
      </w:r>
      <w:r w:rsidR="005A5F17">
        <w:tab/>
        <w:t>Huawei, HiSilicon</w:t>
      </w:r>
    </w:p>
    <w:p w14:paraId="6DB0E594" w14:textId="77777777" w:rsidR="005A5F17" w:rsidRDefault="00492E32" w:rsidP="005A5F17">
      <w:pPr>
        <w:pStyle w:val="a6"/>
        <w:numPr>
          <w:ilvl w:val="0"/>
          <w:numId w:val="18"/>
        </w:numPr>
        <w:ind w:leftChars="0"/>
      </w:pPr>
      <w:hyperlink r:id="rId25" w:history="1">
        <w:r w:rsidR="005A5F17">
          <w:rPr>
            <w:rStyle w:val="a4"/>
          </w:rPr>
          <w:t>R1-2006686</w:t>
        </w:r>
      </w:hyperlink>
      <w:r w:rsidR="005A5F17">
        <w:tab/>
        <w:t>Framework and principles for RedCap UE</w:t>
      </w:r>
      <w:r w:rsidR="005A5F17">
        <w:tab/>
        <w:t>Sequans Communications</w:t>
      </w:r>
    </w:p>
    <w:p w14:paraId="3664523B" w14:textId="29DE6427" w:rsidR="005A5F17" w:rsidRDefault="00492E32" w:rsidP="005A5F17">
      <w:pPr>
        <w:pStyle w:val="a6"/>
        <w:numPr>
          <w:ilvl w:val="0"/>
          <w:numId w:val="18"/>
        </w:numPr>
        <w:ind w:leftChars="0"/>
      </w:pPr>
      <w:hyperlink r:id="rId26" w:history="1">
        <w:r w:rsidR="005A5F17">
          <w:rPr>
            <w:rStyle w:val="a4"/>
          </w:rPr>
          <w:t>R1-2006814</w:t>
        </w:r>
      </w:hyperlink>
      <w:r w:rsidR="005A5F17">
        <w:tab/>
        <w:t>Standardization Framework and Design Principles for RedCap Devices</w:t>
      </w:r>
      <w:r w:rsidR="005A5F17">
        <w:tab/>
        <w:t>Qualcomm Incorporated</w:t>
      </w:r>
    </w:p>
    <w:p w14:paraId="53B4EFFA" w14:textId="72C6E9B5" w:rsidR="00260B5F" w:rsidRPr="00DF7A9B" w:rsidRDefault="00492E32" w:rsidP="00260B5F">
      <w:pPr>
        <w:pStyle w:val="a6"/>
        <w:numPr>
          <w:ilvl w:val="0"/>
          <w:numId w:val="18"/>
        </w:numPr>
        <w:ind w:leftChars="0"/>
      </w:pPr>
      <w:hyperlink r:id="rId27" w:history="1">
        <w:r w:rsidR="00260B5F">
          <w:rPr>
            <w:rStyle w:val="a4"/>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492E32" w:rsidP="00DF7A9B">
      <w:pPr>
        <w:pStyle w:val="a6"/>
        <w:numPr>
          <w:ilvl w:val="0"/>
          <w:numId w:val="18"/>
        </w:numPr>
        <w:ind w:leftChars="0"/>
      </w:pPr>
      <w:hyperlink r:id="rId28" w:history="1">
        <w:r w:rsidR="00DF7A9B" w:rsidRPr="00DF7A9B">
          <w:rPr>
            <w:rStyle w:val="a4"/>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492E32" w:rsidP="00DF7A9B">
      <w:pPr>
        <w:pStyle w:val="a6"/>
        <w:numPr>
          <w:ilvl w:val="0"/>
          <w:numId w:val="18"/>
        </w:numPr>
        <w:ind w:leftChars="0"/>
      </w:pPr>
      <w:hyperlink r:id="rId29" w:history="1">
        <w:r w:rsidR="00DF7A9B">
          <w:rPr>
            <w:rStyle w:val="a4"/>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A0EC2" w14:textId="77777777" w:rsidR="00492E32" w:rsidRDefault="00492E32" w:rsidP="00260B5F">
      <w:r>
        <w:separator/>
      </w:r>
    </w:p>
  </w:endnote>
  <w:endnote w:type="continuationSeparator" w:id="0">
    <w:p w14:paraId="37CA5C38" w14:textId="77777777" w:rsidR="00492E32" w:rsidRDefault="00492E32"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326DB" w14:textId="77777777" w:rsidR="00492E32" w:rsidRDefault="00492E32" w:rsidP="00260B5F">
      <w:r>
        <w:separator/>
      </w:r>
    </w:p>
  </w:footnote>
  <w:footnote w:type="continuationSeparator" w:id="0">
    <w:p w14:paraId="0B980FD8" w14:textId="77777777" w:rsidR="00492E32" w:rsidRDefault="00492E32"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80327"/>
    <w:rsid w:val="00081700"/>
    <w:rsid w:val="000E0B50"/>
    <w:rsid w:val="001156CD"/>
    <w:rsid w:val="00212F7F"/>
    <w:rsid w:val="0022034A"/>
    <w:rsid w:val="00241D29"/>
    <w:rsid w:val="00260B5F"/>
    <w:rsid w:val="002674F6"/>
    <w:rsid w:val="002B3A76"/>
    <w:rsid w:val="002E03C3"/>
    <w:rsid w:val="002E3030"/>
    <w:rsid w:val="00350827"/>
    <w:rsid w:val="00377685"/>
    <w:rsid w:val="003A25CA"/>
    <w:rsid w:val="00451E62"/>
    <w:rsid w:val="004541EF"/>
    <w:rsid w:val="00470F8A"/>
    <w:rsid w:val="00492E32"/>
    <w:rsid w:val="00506C04"/>
    <w:rsid w:val="0050781F"/>
    <w:rsid w:val="00530AAC"/>
    <w:rsid w:val="005A5F17"/>
    <w:rsid w:val="005B59A7"/>
    <w:rsid w:val="005E7278"/>
    <w:rsid w:val="00603389"/>
    <w:rsid w:val="0063152C"/>
    <w:rsid w:val="0067741F"/>
    <w:rsid w:val="00684A94"/>
    <w:rsid w:val="006B65E2"/>
    <w:rsid w:val="00702131"/>
    <w:rsid w:val="00733FD1"/>
    <w:rsid w:val="007C624E"/>
    <w:rsid w:val="00807283"/>
    <w:rsid w:val="0082707F"/>
    <w:rsid w:val="00837F2D"/>
    <w:rsid w:val="00845504"/>
    <w:rsid w:val="00861F43"/>
    <w:rsid w:val="00873B21"/>
    <w:rsid w:val="008754AA"/>
    <w:rsid w:val="008D258D"/>
    <w:rsid w:val="008D5245"/>
    <w:rsid w:val="008F4AF6"/>
    <w:rsid w:val="008F5E07"/>
    <w:rsid w:val="00992432"/>
    <w:rsid w:val="009B186E"/>
    <w:rsid w:val="009B5685"/>
    <w:rsid w:val="009C12EC"/>
    <w:rsid w:val="009C7AD4"/>
    <w:rsid w:val="00A22EE7"/>
    <w:rsid w:val="00A66AE0"/>
    <w:rsid w:val="00A67638"/>
    <w:rsid w:val="00A933D9"/>
    <w:rsid w:val="00AD3927"/>
    <w:rsid w:val="00AE2504"/>
    <w:rsid w:val="00AE698E"/>
    <w:rsid w:val="00AF577B"/>
    <w:rsid w:val="00B51229"/>
    <w:rsid w:val="00BB53C0"/>
    <w:rsid w:val="00BE200E"/>
    <w:rsid w:val="00C10B53"/>
    <w:rsid w:val="00C13240"/>
    <w:rsid w:val="00C54488"/>
    <w:rsid w:val="00C62E5A"/>
    <w:rsid w:val="00C666D5"/>
    <w:rsid w:val="00CB78EA"/>
    <w:rsid w:val="00CE6E55"/>
    <w:rsid w:val="00CF0E7A"/>
    <w:rsid w:val="00CF2BDF"/>
    <w:rsid w:val="00D2404A"/>
    <w:rsid w:val="00D3217C"/>
    <w:rsid w:val="00D5797B"/>
    <w:rsid w:val="00D74332"/>
    <w:rsid w:val="00D84D79"/>
    <w:rsid w:val="00DD64E1"/>
    <w:rsid w:val="00DF7A9B"/>
    <w:rsid w:val="00E16552"/>
    <w:rsid w:val="00E267B7"/>
    <w:rsid w:val="00E33BFE"/>
    <w:rsid w:val="00E54F00"/>
    <w:rsid w:val="00EA5F6E"/>
    <w:rsid w:val="00ED1C30"/>
    <w:rsid w:val="00F16308"/>
    <w:rsid w:val="00F46C99"/>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8F73-0715-46DE-AB75-2EAF2222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5513</Words>
  <Characters>31428</Characters>
  <Application>Microsoft Office Word</Application>
  <DocSecurity>0</DocSecurity>
  <Lines>261</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ZTE</cp:lastModifiedBy>
  <cp:revision>25</cp:revision>
  <dcterms:created xsi:type="dcterms:W3CDTF">2020-08-19T05:00:00Z</dcterms:created>
  <dcterms:modified xsi:type="dcterms:W3CDTF">2020-08-19T07:59:00Z</dcterms:modified>
</cp:coreProperties>
</file>