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4622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rFonts w:hint="eastAsia"/>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rFonts w:hint="eastAsia"/>
                <w:lang w:eastAsia="zh-CN"/>
              </w:rPr>
            </w:pPr>
            <w:r>
              <w:rPr>
                <w:rFonts w:hint="eastAsia"/>
                <w:lang w:eastAsia="zh-CN"/>
              </w:rPr>
              <w:t>Fine to come back to the issue later and agree that in this case proposal 1 is not needed.</w:t>
            </w:r>
          </w:p>
        </w:tc>
      </w:tr>
      <w:tr w:rsidR="00920D0D" w:rsidRPr="00C57CB5" w14:paraId="161C8978" w14:textId="77777777" w:rsidTr="00C107C2">
        <w:tc>
          <w:tcPr>
            <w:tcW w:w="1939" w:type="dxa"/>
          </w:tcPr>
          <w:p w14:paraId="619A6538" w14:textId="726753D5" w:rsidR="00920D0D" w:rsidRPr="00C57CB5" w:rsidRDefault="00920D0D" w:rsidP="00920D0D"/>
        </w:tc>
        <w:tc>
          <w:tcPr>
            <w:tcW w:w="7691" w:type="dxa"/>
          </w:tcPr>
          <w:p w14:paraId="7B2A055C" w14:textId="4F4703BD" w:rsidR="00920D0D" w:rsidRPr="00C57CB5" w:rsidRDefault="00920D0D" w:rsidP="00920D0D"/>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proofErr w:type="spellStart"/>
      <w:r>
        <w:rPr>
          <w:rFonts w:ascii="Times New Roman" w:hAnsi="Times New Roman"/>
          <w:sz w:val="20"/>
          <w:szCs w:val="20"/>
        </w:rPr>
        <w:t>Xiaomi</w:t>
      </w:r>
      <w:proofErr w:type="spellEnd"/>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rFonts w:hint="eastAsia"/>
                <w:lang w:eastAsia="zh-CN"/>
              </w:rPr>
            </w:pPr>
            <w:r>
              <w:rPr>
                <w:rFonts w:hint="eastAsia"/>
                <w:lang w:eastAsia="zh-CN"/>
              </w:rPr>
              <w:lastRenderedPageBreak/>
              <w:t>CATT</w:t>
            </w:r>
          </w:p>
        </w:tc>
        <w:tc>
          <w:tcPr>
            <w:tcW w:w="7691" w:type="dxa"/>
          </w:tcPr>
          <w:p w14:paraId="48C98888" w14:textId="2EE6ABDD" w:rsidR="00920D0D" w:rsidRPr="00C57CB5" w:rsidRDefault="0001629D" w:rsidP="00920D0D">
            <w:pPr>
              <w:rPr>
                <w:rFonts w:hint="eastAsia"/>
                <w:lang w:eastAsia="zh-CN"/>
              </w:rPr>
            </w:pPr>
            <w:r>
              <w:rPr>
                <w:rFonts w:hint="eastAsia"/>
                <w:lang w:eastAsia="zh-CN"/>
              </w:rPr>
              <w:t>Fine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rFonts w:hint="eastAsia"/>
                <w:lang w:eastAsia="zh-CN"/>
              </w:rPr>
            </w:pPr>
            <w:r>
              <w:rPr>
                <w:rFonts w:hint="eastAsia"/>
                <w:lang w:eastAsia="zh-CN"/>
              </w:rPr>
              <w:t>CATT</w:t>
            </w:r>
          </w:p>
        </w:tc>
        <w:tc>
          <w:tcPr>
            <w:tcW w:w="7691" w:type="dxa"/>
          </w:tcPr>
          <w:p w14:paraId="59F78C68" w14:textId="7F0D3988" w:rsidR="00920D0D" w:rsidRPr="00C57CB5" w:rsidRDefault="0001629D" w:rsidP="00920D0D">
            <w:pPr>
              <w:rPr>
                <w:rFonts w:hint="eastAsia"/>
                <w:lang w:eastAsia="zh-CN"/>
              </w:rPr>
            </w:pPr>
            <w:r>
              <w:rPr>
                <w:rFonts w:hint="eastAsia"/>
                <w:lang w:eastAsia="zh-CN"/>
              </w:rPr>
              <w:t xml:space="preserve">We prefer to down-select between option 1 and option 3. </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lastRenderedPageBreak/>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rFonts w:hint="eastAsia"/>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lastRenderedPageBreak/>
        <w:t xml:space="preserve">vivo, </w:t>
      </w:r>
      <w:proofErr w:type="spellStart"/>
      <w:r w:rsidRPr="001D58CA">
        <w:rPr>
          <w:rFonts w:ascii="Times New Roman" w:hAnsi="Times New Roman"/>
          <w:sz w:val="20"/>
          <w:szCs w:val="20"/>
        </w:rPr>
        <w:t>Xiaomi</w:t>
      </w:r>
      <w:proofErr w:type="spellEnd"/>
      <w:r w:rsidRPr="001D58CA">
        <w:rPr>
          <w:rFonts w:ascii="Times New Roman" w:hAnsi="Times New Roman"/>
          <w:sz w:val="20"/>
          <w:szCs w:val="20"/>
        </w:rPr>
        <w:t xml:space="preserve">,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Xiaomi</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rFonts w:hint="eastAsia"/>
                <w:lang w:eastAsia="zh-CN"/>
              </w:rPr>
            </w:pPr>
            <w:r>
              <w:rPr>
                <w:rFonts w:hint="eastAsia"/>
                <w:lang w:eastAsia="zh-CN"/>
              </w:rPr>
              <w:t>CATT</w:t>
            </w:r>
          </w:p>
        </w:tc>
        <w:tc>
          <w:tcPr>
            <w:tcW w:w="7691" w:type="dxa"/>
          </w:tcPr>
          <w:p w14:paraId="4848B784" w14:textId="77777777" w:rsidR="00C15F5A" w:rsidRDefault="00C15F5A" w:rsidP="00920D0D">
            <w:pPr>
              <w:spacing w:line="254" w:lineRule="auto"/>
              <w:rPr>
                <w:lang w:eastAsia="zh-CN"/>
              </w:rPr>
            </w:pP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lastRenderedPageBreak/>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lastRenderedPageBreak/>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rFonts w:hint="eastAsia"/>
                <w:lang w:eastAsia="zh-CN"/>
              </w:rPr>
            </w:pPr>
            <w:r>
              <w:rPr>
                <w:rFonts w:hint="eastAsia"/>
                <w:lang w:eastAsia="zh-CN"/>
              </w:rPr>
              <w:t>CATT</w:t>
            </w:r>
          </w:p>
        </w:tc>
        <w:tc>
          <w:tcPr>
            <w:tcW w:w="7691" w:type="dxa"/>
          </w:tcPr>
          <w:p w14:paraId="592CB0EA" w14:textId="7C99FC8E" w:rsidR="005D2C50" w:rsidRDefault="005D2C50" w:rsidP="005D2C50">
            <w:pPr>
              <w:spacing w:after="0"/>
              <w:rPr>
                <w:rFonts w:hint="eastAsia"/>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rFonts w:hint="eastAsia"/>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bookmarkStart w:id="4" w:name="_GoBack"/>
            <w:bookmarkEnd w:id="4"/>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lastRenderedPageBreak/>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E304A5"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E304A5"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E304A5" w:rsidP="006F2F94">
      <w:pPr>
        <w:pStyle w:val="af3"/>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510A1" w14:textId="77777777" w:rsidR="00E304A5" w:rsidRDefault="00E304A5">
      <w:r>
        <w:separator/>
      </w:r>
    </w:p>
  </w:endnote>
  <w:endnote w:type="continuationSeparator" w:id="0">
    <w:p w14:paraId="4042912C" w14:textId="77777777" w:rsidR="00E304A5" w:rsidRDefault="00E304A5">
      <w:r>
        <w:continuationSeparator/>
      </w:r>
    </w:p>
  </w:endnote>
  <w:endnote w:type="continuationNotice" w:id="1">
    <w:p w14:paraId="1B1CE44B" w14:textId="77777777" w:rsidR="00E304A5" w:rsidRDefault="00E304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47E26189"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ED51A3">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D51A3">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BC659" w14:textId="77777777" w:rsidR="00E304A5" w:rsidRDefault="00E304A5">
      <w:r>
        <w:separator/>
      </w:r>
    </w:p>
  </w:footnote>
  <w:footnote w:type="continuationSeparator" w:id="0">
    <w:p w14:paraId="1CADC5D4" w14:textId="77777777" w:rsidR="00E304A5" w:rsidRDefault="00E304A5">
      <w:r>
        <w:continuationSeparator/>
      </w:r>
    </w:p>
  </w:footnote>
  <w:footnote w:type="continuationNotice" w:id="1">
    <w:p w14:paraId="62B501DE" w14:textId="77777777" w:rsidR="00E304A5" w:rsidRDefault="00E304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0" Type="http://schemas.openxmlformats.org/officeDocument/2006/relationships/hyperlink" Target="file:///C:\Users\wanshic\OneDrive%20-%20Qualcomm\Documents\Standards\3GPP%20Standards\Meeting%20Documents\TSGR1_102\Docs\R1-2005716.zip" TargetMode="External"/><Relationship Id="rId29" Type="http://schemas.openxmlformats.org/officeDocument/2006/relationships/hyperlink" Target="file:///C:\Users\wanshic\OneDrive%20-%20Qualcomm\Documents\Standards\3GPP%20Standards\Meeting%20Documents\TSGR1_102\Docs\R1-200629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AB4FE-BE65-4214-815B-8EE91BA2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9</Pages>
  <Words>3434</Words>
  <Characters>19577</Characters>
  <Application>Microsoft Office Word</Application>
  <DocSecurity>0</DocSecurity>
  <Lines>163</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CATT</cp:lastModifiedBy>
  <cp:revision>5</cp:revision>
  <cp:lastPrinted>2020-08-17T03:17:00Z</cp:lastPrinted>
  <dcterms:created xsi:type="dcterms:W3CDTF">2020-08-20T05:11:00Z</dcterms:created>
  <dcterms:modified xsi:type="dcterms:W3CDTF">2020-08-20T05:38:00Z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