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xml:space="preserve">,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a8"/>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7"/>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7"/>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7"/>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8"/>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proofErr w:type="gramStart"/>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proofErr w:type="gramEnd"/>
      <w:r w:rsidR="000F422C">
        <w:rPr>
          <w:rFonts w:ascii="Arial" w:hAnsi="Arial" w:cs="Arial"/>
          <w:lang w:eastAsia="x-none"/>
        </w:rPr>
        <w:t>]</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w:t>
      </w:r>
      <w:proofErr w:type="gramStart"/>
      <w:r>
        <w:rPr>
          <w:rFonts w:ascii="Arial" w:hAnsi="Arial" w:cs="Arial"/>
          <w:lang w:eastAsia="x-none"/>
        </w:rPr>
        <w:t>,18</w:t>
      </w:r>
      <w:proofErr w:type="gramEnd"/>
      <w:r>
        <w:rPr>
          <w:rFonts w:ascii="Arial" w:hAnsi="Arial" w:cs="Arial"/>
          <w:lang w:eastAsia="x-none"/>
        </w:rPr>
        <w:t>]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 xml:space="preserve">n addition to VoIP and FTP </w:t>
      </w:r>
      <w:proofErr w:type="gramStart"/>
      <w:r w:rsidR="003F11EC" w:rsidRPr="003F11EC">
        <w:rPr>
          <w:rFonts w:ascii="Arial" w:hAnsi="Arial" w:cs="Arial"/>
          <w:lang w:eastAsia="x-none"/>
        </w:rPr>
        <w:t>model,</w:t>
      </w:r>
      <w:proofErr w:type="gramEnd"/>
      <w:r w:rsidR="003F11EC" w:rsidRPr="003F11EC">
        <w:rPr>
          <w:rFonts w:ascii="Arial" w:hAnsi="Arial" w:cs="Arial"/>
          <w:lang w:eastAsia="x-none"/>
        </w:rPr>
        <w:t xml:space="preserve">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7"/>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a7"/>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w:t>
      </w:r>
      <w:proofErr w:type="gramStart"/>
      <w:r>
        <w:rPr>
          <w:rFonts w:ascii="Arial" w:hAnsi="Arial" w:cs="Arial"/>
          <w:b/>
          <w:bCs/>
        </w:rPr>
        <w:t>,18</w:t>
      </w:r>
      <w:proofErr w:type="gramEnd"/>
      <w:r>
        <w:rPr>
          <w:rFonts w:ascii="Arial" w:hAnsi="Arial" w:cs="Arial"/>
          <w:b/>
          <w:bCs/>
        </w:rPr>
        <w:t>]</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8"/>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 xml:space="preserve">We are fine with that. It can help for evaluation of schemes for RedCap UEs. </w:t>
            </w:r>
            <w:proofErr w:type="gramStart"/>
            <w:r>
              <w:t>All those</w:t>
            </w:r>
            <w:proofErr w:type="gramEnd"/>
            <w:r>
              <w:t xml:space="preserv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w:t>
      </w:r>
      <w:proofErr w:type="gramStart"/>
      <w:r w:rsidR="003872B0">
        <w:rPr>
          <w:rFonts w:ascii="Arial" w:hAnsi="Arial" w:cs="Arial"/>
          <w:lang w:eastAsia="x-none"/>
        </w:rPr>
        <w:t>proposed</w:t>
      </w:r>
      <w:proofErr w:type="gramEnd"/>
      <w:r w:rsidR="003872B0">
        <w:rPr>
          <w:rFonts w:ascii="Arial" w:hAnsi="Arial" w:cs="Arial"/>
          <w:lang w:eastAsia="x-none"/>
        </w:rPr>
        <w:t xml:space="preserve">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7"/>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7"/>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8"/>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7"/>
              <w:spacing w:after="0"/>
              <w:ind w:left="0"/>
              <w:jc w:val="both"/>
              <w:rPr>
                <w:rFonts w:ascii="Arial" w:hAnsi="Arial" w:cs="Arial"/>
                <w:lang w:eastAsia="x-none"/>
              </w:rPr>
            </w:pPr>
          </w:p>
        </w:tc>
        <w:tc>
          <w:tcPr>
            <w:tcW w:w="1800" w:type="dxa"/>
          </w:tcPr>
          <w:p w14:paraId="35DF3DB0" w14:textId="1795E083" w:rsidR="00BC5D7D" w:rsidRDefault="00BC5D7D" w:rsidP="001276C6">
            <w:pPr>
              <w:pStyle w:val="a7"/>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7"/>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7"/>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7"/>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7"/>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7"/>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7"/>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7"/>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7"/>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7"/>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7"/>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7"/>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8"/>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7"/>
              <w:spacing w:after="0"/>
              <w:ind w:left="0"/>
              <w:jc w:val="both"/>
              <w:rPr>
                <w:rFonts w:ascii="Arial" w:hAnsi="Arial" w:cs="Arial"/>
                <w:lang w:eastAsia="x-none"/>
              </w:rPr>
            </w:pPr>
          </w:p>
        </w:tc>
        <w:tc>
          <w:tcPr>
            <w:tcW w:w="1980" w:type="dxa"/>
          </w:tcPr>
          <w:p w14:paraId="5FD8132E"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7"/>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7"/>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7"/>
              <w:spacing w:after="0"/>
              <w:ind w:left="0"/>
              <w:jc w:val="both"/>
              <w:rPr>
                <w:rFonts w:ascii="Arial" w:hAnsi="Arial" w:cs="Arial"/>
                <w:lang w:eastAsia="x-none"/>
              </w:rPr>
            </w:pPr>
            <w:r>
              <w:rPr>
                <w:rFonts w:ascii="Arial" w:hAnsi="Arial" w:cs="Arial"/>
                <w:lang w:eastAsia="x-none"/>
              </w:rPr>
              <w:lastRenderedPageBreak/>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7"/>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7"/>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8"/>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RedCap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 xml:space="preserve">In case of heartbeat traffic, we propose to rename the traffic model because “heartbeat” for wearables might be a total different use case than the “keep </w:t>
            </w:r>
            <w:proofErr w:type="gramStart"/>
            <w:r>
              <w:rPr>
                <w:rFonts w:ascii="Arial" w:hAnsi="Arial" w:cs="Arial"/>
              </w:rPr>
              <w:t>alive</w:t>
            </w:r>
            <w:proofErr w:type="gramEnd"/>
            <w:r>
              <w:rPr>
                <w:rFonts w:ascii="Arial" w:hAnsi="Arial" w:cs="Arial"/>
              </w:rPr>
              <w:t xml:space="preser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 xml:space="preserve">defined in TR 38.840 </w:t>
            </w:r>
            <w:proofErr w:type="gramStart"/>
            <w:r w:rsidRPr="0066778F">
              <w:rPr>
                <w:rFonts w:ascii="Arial" w:hAnsi="Arial" w:cs="Arial"/>
              </w:rPr>
              <w:t>be</w:t>
            </w:r>
            <w:proofErr w:type="gramEnd"/>
            <w:r w:rsidRPr="0066778F">
              <w:rPr>
                <w:rFonts w:ascii="Arial" w:hAnsi="Arial" w:cs="Arial"/>
              </w:rPr>
              <w:t xml:space="preserv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rFonts w:hint="eastAsia"/>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rFonts w:hint="eastAsia"/>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77777777" w:rsidR="006F2FAF" w:rsidRPr="00C57FE0" w:rsidRDefault="006F2FAF" w:rsidP="006F2FAF">
            <w:pPr>
              <w:spacing w:after="0"/>
              <w:rPr>
                <w:rFonts w:ascii="Arial" w:hAnsi="Arial" w:cs="Arial"/>
              </w:rPr>
            </w:pPr>
          </w:p>
        </w:tc>
        <w:tc>
          <w:tcPr>
            <w:tcW w:w="7694" w:type="dxa"/>
          </w:tcPr>
          <w:p w14:paraId="7084766D" w14:textId="77777777" w:rsidR="006F2FAF" w:rsidRPr="00C57FE0" w:rsidRDefault="006F2FAF" w:rsidP="006F2FAF">
            <w:pPr>
              <w:spacing w:after="0"/>
              <w:rPr>
                <w:rFonts w:ascii="Arial" w:hAnsi="Arial" w:cs="Arial"/>
              </w:rPr>
            </w:pP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A few contributions [5</w:t>
      </w:r>
      <w:proofErr w:type="gramStart"/>
      <w:r>
        <w:rPr>
          <w:rFonts w:ascii="Arial" w:hAnsi="Arial" w:cs="Arial"/>
          <w:lang w:eastAsia="x-none"/>
        </w:rPr>
        <w:t>,14,18,24</w:t>
      </w:r>
      <w:proofErr w:type="gramEnd"/>
      <w:r>
        <w:rPr>
          <w:rFonts w:ascii="Arial" w:hAnsi="Arial" w:cs="Arial"/>
          <w:lang w:eastAsia="x-none"/>
        </w:rPr>
        <w:t xml:space="preserve">]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7"/>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lastRenderedPageBreak/>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a8"/>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w:t>
            </w:r>
            <w:proofErr w:type="gramStart"/>
            <w:r w:rsidRPr="000B4C9B">
              <w:rPr>
                <w:rFonts w:ascii="Arial" w:eastAsiaTheme="minorEastAsia" w:hAnsi="Arial" w:cs="Arial"/>
                <w:lang w:eastAsia="zh-CN"/>
              </w:rPr>
              <w:t>cases</w:t>
            </w:r>
            <w:r w:rsidRPr="000B4C9B" w:rsidDel="00F70275">
              <w:rPr>
                <w:rFonts w:ascii="Arial" w:eastAsiaTheme="minorEastAsia" w:hAnsi="Arial" w:cs="Arial"/>
                <w:lang w:eastAsia="zh-CN"/>
              </w:rPr>
              <w:t>,</w:t>
            </w:r>
            <w:proofErr w:type="gramEnd"/>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w:t>
      </w:r>
      <w:proofErr w:type="gramStart"/>
      <w:r>
        <w:rPr>
          <w:rFonts w:ascii="Arial" w:hAnsi="Arial" w:cs="Arial"/>
          <w:lang w:eastAsia="x-none"/>
        </w:rPr>
        <w:t>,14</w:t>
      </w:r>
      <w:proofErr w:type="gramEnd"/>
      <w:r>
        <w:rPr>
          <w:rFonts w:ascii="Arial" w:hAnsi="Arial" w:cs="Arial"/>
          <w:lang w:eastAsia="x-none"/>
        </w:rPr>
        <w:t>]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7"/>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 xml:space="preserve">Some adjustment is </w:t>
            </w:r>
            <w:proofErr w:type="gramStart"/>
            <w:r>
              <w:rPr>
                <w:rFonts w:ascii="Arial" w:hAnsi="Arial" w:cs="Arial"/>
                <w:lang w:eastAsia="zh-CN"/>
              </w:rPr>
              <w:t>needed,</w:t>
            </w:r>
            <w:proofErr w:type="gramEnd"/>
            <w:r>
              <w:rPr>
                <w:rFonts w:ascii="Arial" w:hAnsi="Arial" w:cs="Arial"/>
                <w:lang w:eastAsia="zh-CN"/>
              </w:rPr>
              <w:t xml:space="preserve"> for example, lower the micro sleep power for 20MHz?</w:t>
            </w:r>
          </w:p>
          <w:p w14:paraId="5C907D70" w14:textId="215E030C" w:rsidR="00D92F91" w:rsidRDefault="00D92F91" w:rsidP="00D92F91">
            <w:pPr>
              <w:pStyle w:val="a7"/>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 xml:space="preserve">Suggest </w:t>
            </w:r>
            <w:proofErr w:type="gramStart"/>
            <w:r w:rsidR="00662B4F">
              <w:rPr>
                <w:rFonts w:ascii="Arial" w:hAnsi="Arial" w:cs="Arial"/>
                <w:lang w:eastAsia="zh-CN"/>
              </w:rPr>
              <w:t>to consider</w:t>
            </w:r>
            <w:proofErr w:type="gramEnd"/>
            <w:r w:rsidR="00662B4F">
              <w:rPr>
                <w:rFonts w:ascii="Arial" w:hAnsi="Arial" w:cs="Arial"/>
                <w:lang w:eastAsia="zh-CN"/>
              </w:rPr>
              <w:t xml:space="preserve">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w:t>
            </w:r>
            <w:proofErr w:type="gramStart"/>
            <w:r w:rsidR="001472DE">
              <w:rPr>
                <w:rFonts w:ascii="Arial" w:hAnsi="Arial" w:cs="Arial"/>
                <w:lang w:eastAsia="zh-CN"/>
              </w:rPr>
              <w:t>consider</w:t>
            </w:r>
            <w:proofErr w:type="gramEnd"/>
            <w:r w:rsidR="001472DE">
              <w:rPr>
                <w:rFonts w:ascii="Arial" w:hAnsi="Arial" w:cs="Arial"/>
                <w:lang w:eastAsia="zh-CN"/>
              </w:rPr>
              <w:t xml:space="preserve"> Rx scaling for micro sleep power. </w:t>
            </w:r>
          </w:p>
          <w:p w14:paraId="0D94731A" w14:textId="0EF186B5" w:rsidR="00D92F91" w:rsidRPr="00D92F91" w:rsidRDefault="003B1126" w:rsidP="00D92F91">
            <w:pPr>
              <w:pStyle w:val="a7"/>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w:t>
            </w:r>
            <w:proofErr w:type="gramStart"/>
            <w:r>
              <w:rPr>
                <w:rFonts w:ascii="Arial" w:hAnsi="Arial" w:cs="Arial"/>
                <w:lang w:eastAsia="zh-CN"/>
              </w:rPr>
              <w:t>problems,</w:t>
            </w:r>
            <w:proofErr w:type="gramEnd"/>
            <w:r>
              <w:rPr>
                <w:rFonts w:ascii="Arial" w:hAnsi="Arial" w:cs="Arial"/>
                <w:lang w:eastAsia="zh-CN"/>
              </w:rPr>
              <w:t xml:space="preserve">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proofErr w:type="gramStart"/>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w:t>
            </w:r>
            <w:proofErr w:type="gramEnd"/>
            <w:r>
              <w:rPr>
                <w:rFonts w:ascii="Arial" w:hAnsi="Arial" w:cs="Arial"/>
              </w:rPr>
              <w:t xml:space="preserve">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lastRenderedPageBreak/>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proofErr w:type="gramStart"/>
            <w:r>
              <w:rPr>
                <w:rFonts w:ascii="Arial" w:hAnsi="Arial" w:cs="Arial"/>
                <w:lang w:eastAsia="x-none"/>
              </w:rPr>
              <w:t>max(</w:t>
            </w:r>
            <w:proofErr w:type="gramEnd"/>
            <w:r>
              <w:rPr>
                <w:rFonts w:ascii="Arial" w:hAnsi="Arial" w:cs="Arial"/>
                <w:lang w:eastAsia="x-none"/>
              </w:rPr>
              <w:t>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hint="eastAsia"/>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hint="eastAsia"/>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77777777" w:rsidR="00A13970" w:rsidRPr="00821570" w:rsidRDefault="00A13970" w:rsidP="006F2FAF">
            <w:pPr>
              <w:spacing w:after="0"/>
              <w:rPr>
                <w:rFonts w:ascii="Arial" w:hAnsi="Arial" w:cs="Arial"/>
              </w:rPr>
            </w:pPr>
          </w:p>
        </w:tc>
        <w:tc>
          <w:tcPr>
            <w:tcW w:w="7694" w:type="dxa"/>
          </w:tcPr>
          <w:p w14:paraId="01649F3C" w14:textId="77777777" w:rsidR="00A13970" w:rsidRPr="00C57FE0" w:rsidRDefault="00A13970" w:rsidP="006F2FAF">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proofErr w:type="gramStart"/>
      <w:r w:rsidRPr="003A20B8">
        <w:rPr>
          <w:rFonts w:ascii="Arial" w:eastAsia="Malgun Gothic" w:hAnsi="Arial" w:cs="Arial"/>
          <w:lang w:val="en-US" w:eastAsia="ko-KR"/>
        </w:rPr>
        <w:t>is</w:t>
      </w:r>
      <w:proofErr w:type="gramEnd"/>
      <w:r w:rsidRPr="003A20B8">
        <w:rPr>
          <w:rFonts w:ascii="Arial" w:eastAsia="Malgun Gothic" w:hAnsi="Arial" w:cs="Arial"/>
          <w:lang w:val="en-US" w:eastAsia="ko-KR"/>
        </w:rPr>
        <w:t xml:space="preserve">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8"/>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821570"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Alternatively, we propose the following model: P(X) = (Ps</w:t>
            </w:r>
            <w:proofErr w:type="gramStart"/>
            <w:r>
              <w:rPr>
                <w:rFonts w:ascii="Arial" w:hAnsi="Arial" w:cs="Arial"/>
              </w:rPr>
              <w:t>+(</w:t>
            </w:r>
            <w:proofErr w:type="gramEnd"/>
            <w:r>
              <w:rPr>
                <w:rFonts w:ascii="Arial" w:hAnsi="Arial" w:cs="Arial"/>
              </w:rPr>
              <w:t xml:space="preserve">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a7"/>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a7"/>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w:t>
            </w:r>
            <w:proofErr w:type="spellStart"/>
            <w:r>
              <w:rPr>
                <w:rFonts w:ascii="Arial" w:hAnsi="Arial" w:cs="Arial"/>
              </w:rPr>
              <w:t>Pt</w:t>
            </w:r>
            <w:proofErr w:type="spellEnd"/>
            <w:r>
              <w:rPr>
                <w:rFonts w:ascii="Arial" w:hAnsi="Arial" w:cs="Arial"/>
              </w:rPr>
              <w:t xml:space="preserve">=100,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a7"/>
              <w:numPr>
                <w:ilvl w:val="0"/>
                <w:numId w:val="12"/>
              </w:numPr>
              <w:spacing w:after="0"/>
              <w:rPr>
                <w:rFonts w:ascii="Arial" w:hAnsi="Arial" w:cs="Arial"/>
              </w:rPr>
            </w:pPr>
            <w:r>
              <w:rPr>
                <w:rFonts w:ascii="Arial" w:hAnsi="Arial" w:cs="Arial"/>
              </w:rPr>
              <w:t xml:space="preserve">In “PDCCH+PDCCH” for FR1, </w:t>
            </w:r>
            <w:proofErr w:type="spellStart"/>
            <w:r>
              <w:rPr>
                <w:rFonts w:ascii="Arial" w:hAnsi="Arial" w:cs="Arial"/>
              </w:rPr>
              <w:t>Pt</w:t>
            </w:r>
            <w:proofErr w:type="spellEnd"/>
            <w:r>
              <w:rPr>
                <w:rFonts w:ascii="Arial" w:hAnsi="Arial" w:cs="Arial"/>
              </w:rPr>
              <w:t xml:space="preserve">=300,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a7"/>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8"/>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w:t>
            </w:r>
            <w:proofErr w:type="gramStart"/>
            <w:r>
              <w:rPr>
                <w:rFonts w:ascii="Arial" w:hAnsi="Arial" w:cs="Arial"/>
                <w:lang w:eastAsia="zh-CN"/>
              </w:rPr>
              <w:t>relaxation,</w:t>
            </w:r>
            <w:proofErr w:type="gramEnd"/>
            <w:r>
              <w:rPr>
                <w:rFonts w:ascii="Arial" w:hAnsi="Arial" w:cs="Arial"/>
                <w:lang w:eastAsia="zh-CN"/>
              </w:rPr>
              <w:t xml:space="preserve"> UE assistant information can be beneficial for RedCap UEs thus may be supported. However, given all these Rel-16 UE power saving features are optional for </w:t>
            </w:r>
            <w:proofErr w:type="gramStart"/>
            <w:r>
              <w:rPr>
                <w:rFonts w:ascii="Arial" w:hAnsi="Arial" w:cs="Arial"/>
                <w:lang w:eastAsia="zh-CN"/>
              </w:rPr>
              <w:t>UE,</w:t>
            </w:r>
            <w:proofErr w:type="gramEnd"/>
            <w:r>
              <w:rPr>
                <w:rFonts w:ascii="Arial" w:hAnsi="Arial" w:cs="Arial"/>
                <w:lang w:eastAsia="zh-CN"/>
              </w:rPr>
              <w:t xml:space="preserv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P</w:t>
            </w:r>
            <w:r w:rsidRPr="00D45F6D">
              <w:rPr>
                <w:rFonts w:ascii="Times New Roman" w:eastAsia="宋体" w:hAnsi="Times New Roman" w:cs="Times New Roman" w:hint="eastAsia"/>
                <w:bCs/>
                <w:sz w:val="20"/>
                <w:szCs w:val="20"/>
                <w:lang w:val="en-GB" w:eastAsia="en-US"/>
              </w:rPr>
              <w:t>ower saving signal/channel</w:t>
            </w:r>
            <w:r w:rsidRPr="00D45F6D">
              <w:rPr>
                <w:rFonts w:ascii="Times New Roman" w:eastAsia="宋体" w:hAnsi="Times New Roman" w:cs="Times New Roman"/>
                <w:bCs/>
                <w:sz w:val="20"/>
                <w:szCs w:val="20"/>
                <w:lang w:val="en-GB" w:eastAsia="en-US"/>
              </w:rPr>
              <w:t xml:space="preserve"> for C-DRX;</w:t>
            </w:r>
          </w:p>
          <w:p w14:paraId="358B25E9"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hint="eastAsia"/>
                <w:bCs/>
                <w:sz w:val="20"/>
                <w:szCs w:val="20"/>
                <w:lang w:val="en-GB" w:eastAsia="en-US"/>
              </w:rPr>
              <w:t>Enhancement on the cross-slot scheduling</w:t>
            </w:r>
            <w:r w:rsidRPr="00D45F6D">
              <w:rPr>
                <w:rFonts w:ascii="Times New Roman" w:eastAsia="宋体" w:hAnsi="Times New Roman" w:cs="Times New Roman"/>
                <w:bCs/>
                <w:sz w:val="20"/>
                <w:szCs w:val="20"/>
                <w:lang w:val="en-GB" w:eastAsia="en-US"/>
              </w:rPr>
              <w:t>;</w:t>
            </w:r>
          </w:p>
          <w:p w14:paraId="363A26A6"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lastRenderedPageBreak/>
              <w:t xml:space="preserve">UE assistance information: </w:t>
            </w:r>
            <w:r w:rsidRPr="00D45F6D">
              <w:rPr>
                <w:rFonts w:ascii="Times New Roman" w:eastAsia="宋体" w:hAnsi="Times New Roman" w:cs="Times New Roman" w:hint="eastAsia"/>
                <w:bCs/>
                <w:sz w:val="20"/>
                <w:szCs w:val="20"/>
                <w:lang w:val="en-GB" w:eastAsia="en-US"/>
              </w:rPr>
              <w:t>C-</w:t>
            </w:r>
            <w:r w:rsidRPr="00D45F6D">
              <w:rPr>
                <w:rFonts w:ascii="Times New Roman" w:eastAsia="宋体" w:hAnsi="Times New Roman" w:cs="Times New Roman"/>
                <w:bCs/>
                <w:sz w:val="20"/>
                <w:szCs w:val="20"/>
                <w:lang w:val="en-GB" w:eastAsia="en-US"/>
              </w:rPr>
              <w:t>DRX</w:t>
            </w:r>
            <w:r w:rsidRPr="00D45F6D">
              <w:rPr>
                <w:rFonts w:ascii="Times New Roman" w:eastAsia="宋体" w:hAnsi="Times New Roman" w:cs="Times New Roman" w:hint="eastAsia"/>
                <w:bCs/>
                <w:sz w:val="20"/>
                <w:szCs w:val="20"/>
                <w:lang w:val="en-GB" w:eastAsia="en-US"/>
              </w:rPr>
              <w:t xml:space="preserve"> parameters</w:t>
            </w:r>
            <w:r w:rsidRPr="00D45F6D">
              <w:rPr>
                <w:rFonts w:ascii="Times New Roman" w:eastAsia="宋体" w:hAnsi="Times New Roman" w:cs="Times New Roman"/>
                <w:bCs/>
                <w:sz w:val="20"/>
                <w:szCs w:val="20"/>
                <w:lang w:val="en-GB" w:eastAsia="en-US"/>
              </w:rPr>
              <w:t xml:space="preserve">, </w:t>
            </w:r>
            <w:r w:rsidRPr="00D45F6D">
              <w:rPr>
                <w:rFonts w:ascii="Times New Roman" w:eastAsia="宋体" w:hAnsi="Times New Roman" w:cs="Times New Roman" w:hint="eastAsia"/>
                <w:bCs/>
                <w:sz w:val="20"/>
                <w:szCs w:val="20"/>
                <w:lang w:val="en-GB" w:eastAsia="en-US"/>
              </w:rPr>
              <w:t xml:space="preserve">RRC </w:t>
            </w:r>
            <w:r w:rsidRPr="00D45F6D">
              <w:rPr>
                <w:rFonts w:ascii="Times New Roman" w:eastAsia="宋体" w:hAnsi="Times New Roman" w:cs="Times New Roman"/>
                <w:bCs/>
                <w:sz w:val="20"/>
                <w:szCs w:val="20"/>
                <w:lang w:val="en-GB" w:eastAsia="en-US"/>
              </w:rPr>
              <w:t>state transition;</w:t>
            </w:r>
          </w:p>
          <w:p w14:paraId="6FE98153" w14:textId="77777777" w:rsidR="00192778"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w:t>
            </w:r>
            <w:proofErr w:type="gramStart"/>
            <w:r w:rsidRPr="00743C30">
              <w:rPr>
                <w:bCs/>
              </w:rPr>
              <w:t>receive</w:t>
            </w:r>
            <w:proofErr w:type="gramEnd"/>
            <w:r w:rsidRPr="00743C30">
              <w:rPr>
                <w:bCs/>
              </w:rPr>
              <w:t xml:space="preser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hint="eastAsia"/>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hint="eastAsia"/>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A13970" w14:paraId="72886614" w14:textId="77777777" w:rsidTr="00A815A8">
        <w:tc>
          <w:tcPr>
            <w:tcW w:w="1937" w:type="dxa"/>
          </w:tcPr>
          <w:p w14:paraId="7C4D3ABB" w14:textId="77777777" w:rsidR="00A13970" w:rsidRPr="00821570" w:rsidRDefault="00A13970" w:rsidP="00192778">
            <w:pPr>
              <w:spacing w:after="0"/>
              <w:rPr>
                <w:rFonts w:ascii="Arial" w:hAnsi="Arial" w:cs="Arial"/>
              </w:rPr>
            </w:pPr>
          </w:p>
        </w:tc>
        <w:tc>
          <w:tcPr>
            <w:tcW w:w="7694" w:type="dxa"/>
          </w:tcPr>
          <w:p w14:paraId="39D3198F" w14:textId="77777777" w:rsidR="00A13970" w:rsidRPr="00C57FE0" w:rsidRDefault="00A13970" w:rsidP="00192778">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w:t>
      </w:r>
      <w:proofErr w:type="gramStart"/>
      <w:r w:rsidR="000A5DC4" w:rsidRPr="000A5DC4">
        <w:rPr>
          <w:rFonts w:ascii="Arial" w:eastAsiaTheme="minorEastAsia" w:hAnsi="Arial" w:cs="Arial"/>
          <w:lang w:val="en-US" w:eastAsia="x-none"/>
        </w:rPr>
        <w:t>,6,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proofErr w:type="gramEnd"/>
      <w:r w:rsidR="000A5DC4" w:rsidRPr="000A5DC4">
        <w:rPr>
          <w:rFonts w:ascii="Arial" w:eastAsiaTheme="minorEastAsia" w:hAnsi="Arial" w:cs="Arial"/>
          <w:lang w:val="en-US" w:eastAsia="x-none"/>
        </w:rPr>
        <w:t>]</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xml:space="preserve">. [26] </w:t>
      </w:r>
      <w:proofErr w:type="gramStart"/>
      <w:r w:rsidR="000A5DC4" w:rsidRPr="000A5DC4">
        <w:rPr>
          <w:rFonts w:ascii="Arial" w:eastAsiaTheme="minorEastAsia" w:hAnsi="Arial" w:cs="Arial"/>
          <w:lang w:val="en-US" w:eastAsia="x-none"/>
        </w:rPr>
        <w:t>further</w:t>
      </w:r>
      <w:proofErr w:type="gramEnd"/>
      <w:r w:rsidR="000A5DC4" w:rsidRPr="000A5DC4">
        <w:rPr>
          <w:rFonts w:ascii="Arial" w:eastAsiaTheme="minorEastAsia" w:hAnsi="Arial" w:cs="Arial"/>
          <w:lang w:val="en-US" w:eastAsia="x-none"/>
        </w:rPr>
        <w:t xml:space="preserve">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proofErr w:type="gramStart"/>
      <w:r>
        <w:rPr>
          <w:rFonts w:ascii="Arial" w:eastAsiaTheme="minorEastAsia" w:hAnsi="Arial" w:cs="Arial"/>
          <w:lang w:val="en-US" w:eastAsia="x-none"/>
        </w:rPr>
        <w:t>,</w:t>
      </w:r>
      <w:r w:rsidR="007D6692">
        <w:rPr>
          <w:rFonts w:ascii="Arial" w:eastAsiaTheme="minorEastAsia" w:hAnsi="Arial" w:cs="Arial"/>
          <w:lang w:val="en-US" w:eastAsia="x-none"/>
        </w:rPr>
        <w:t>5,6,20,22</w:t>
      </w:r>
      <w:proofErr w:type="gramEnd"/>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about 29% for FR1 [3</w:t>
      </w:r>
      <w:proofErr w:type="gramStart"/>
      <w:r w:rsidR="00DF64BA">
        <w:rPr>
          <w:rFonts w:ascii="Arial" w:eastAsiaTheme="minorEastAsia" w:hAnsi="Arial" w:cs="Arial"/>
          <w:lang w:val="en-US" w:eastAsia="x-none"/>
        </w:rPr>
        <w:t>,6,22</w:t>
      </w:r>
      <w:proofErr w:type="gramEnd"/>
      <w:r w:rsidR="00DF64BA">
        <w:rPr>
          <w:rFonts w:ascii="Arial" w:eastAsiaTheme="minorEastAsia" w:hAnsi="Arial" w:cs="Arial"/>
          <w:lang w:val="en-US" w:eastAsia="x-none"/>
        </w:rPr>
        <w:t xml:space="preserve">]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w:t>
      </w:r>
      <w:proofErr w:type="gramStart"/>
      <w:r>
        <w:rPr>
          <w:rFonts w:ascii="Arial" w:eastAsiaTheme="minorEastAsia" w:hAnsi="Arial" w:cs="Arial"/>
          <w:lang w:val="en-US" w:eastAsia="x-none"/>
        </w:rPr>
        <w:t>,5,9,10,18,14,26</w:t>
      </w:r>
      <w:proofErr w:type="gramEnd"/>
      <w:r>
        <w:rPr>
          <w:rFonts w:ascii="Arial" w:eastAsiaTheme="minorEastAsia" w:hAnsi="Arial" w:cs="Arial"/>
          <w:lang w:val="en-US" w:eastAsia="x-none"/>
        </w:rPr>
        <w:t>]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w:t>
      </w:r>
      <w:proofErr w:type="gramStart"/>
      <w:r w:rsidR="00703E5D">
        <w:rPr>
          <w:rFonts w:ascii="Arial" w:hAnsi="Arial" w:cs="Arial"/>
          <w:lang w:eastAsia="ja-JP"/>
        </w:rPr>
        <w:t>observed</w:t>
      </w:r>
      <w:proofErr w:type="gramEnd"/>
      <w:r w:rsidR="00703E5D">
        <w:rPr>
          <w:rFonts w:ascii="Arial" w:hAnsi="Arial" w:cs="Arial"/>
          <w:lang w:eastAsia="ja-JP"/>
        </w:rPr>
        <w:t xml:space="preserve">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group scheduling [14</w:t>
      </w:r>
      <w:proofErr w:type="gramStart"/>
      <w:r w:rsidR="00B44D34">
        <w:rPr>
          <w:rFonts w:ascii="Arial" w:hAnsi="Arial" w:cs="Arial"/>
          <w:lang w:eastAsia="ja-JP"/>
        </w:rPr>
        <w:t>,18,26</w:t>
      </w:r>
      <w:proofErr w:type="gramEnd"/>
      <w:r w:rsidR="00B44D34">
        <w:rPr>
          <w:rFonts w:ascii="Arial" w:hAnsi="Arial" w:cs="Arial"/>
          <w:lang w:eastAsia="ja-JP"/>
        </w:rPr>
        <w:t xml:space="preserve">]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7"/>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7"/>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7"/>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ontributions [4</w:t>
      </w:r>
      <w:proofErr w:type="gramStart"/>
      <w:r w:rsidRPr="0009611B">
        <w:rPr>
          <w:rFonts w:ascii="Arial" w:eastAsiaTheme="minorEastAsia" w:hAnsi="Arial" w:cs="Arial"/>
          <w:lang w:val="en-US" w:eastAsia="x-none"/>
        </w:rPr>
        <w:t>,5</w:t>
      </w:r>
      <w:proofErr w:type="gramEnd"/>
      <w:r w:rsidRPr="0009611B">
        <w:rPr>
          <w:rFonts w:ascii="Arial" w:eastAsiaTheme="minorEastAsia" w:hAnsi="Arial" w:cs="Arial"/>
          <w:lang w:val="en-US" w:eastAsia="x-none"/>
        </w:rPr>
        <w:t xml:space="preserve">,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7"/>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7"/>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7"/>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 xml:space="preserve">at modification </w:t>
      </w:r>
      <w:proofErr w:type="gramStart"/>
      <w:r w:rsidR="00FE351B" w:rsidRPr="0030793D">
        <w:rPr>
          <w:rFonts w:ascii="Arial" w:hAnsi="Arial" w:cs="Arial"/>
          <w:b/>
          <w:bCs/>
        </w:rPr>
        <w:t>is needed or any new solutions</w:t>
      </w:r>
      <w:proofErr w:type="gramEnd"/>
      <w:r w:rsidR="00FE351B" w:rsidRPr="0030793D">
        <w:rPr>
          <w:rFonts w:ascii="Arial" w:hAnsi="Arial" w:cs="Arial"/>
          <w:b/>
          <w:bCs/>
        </w:rPr>
        <w:t xml:space="preserve"> under this area</w:t>
      </w:r>
      <w:r w:rsidR="00DE470D">
        <w:rPr>
          <w:rFonts w:ascii="Arial" w:hAnsi="Arial" w:cs="Arial"/>
          <w:b/>
          <w:bCs/>
        </w:rPr>
        <w:t xml:space="preserve"> to further study</w:t>
      </w:r>
      <w:r w:rsidRPr="0030793D">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lastRenderedPageBreak/>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 xml:space="preserve">Alt.3. We </w:t>
            </w:r>
            <w:proofErr w:type="gramStart"/>
            <w:r>
              <w:rPr>
                <w:rFonts w:ascii="Arial" w:hAnsi="Arial" w:cs="Arial"/>
              </w:rPr>
              <w:t>think</w:t>
            </w:r>
            <w:proofErr w:type="gramEnd"/>
            <w:r>
              <w:rPr>
                <w:rFonts w:ascii="Arial" w:hAnsi="Arial" w:cs="Arial"/>
              </w:rPr>
              <w:t xml:space="preserve">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w:t>
            </w:r>
            <w:proofErr w:type="spellStart"/>
            <w:r w:rsidR="00363276" w:rsidRPr="008D689C">
              <w:rPr>
                <w:rFonts w:ascii="Arial" w:hAnsi="Arial" w:cs="Arial"/>
              </w:rPr>
              <w:t>BDs.</w:t>
            </w:r>
            <w:proofErr w:type="spellEnd"/>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a7"/>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a7"/>
              <w:numPr>
                <w:ilvl w:val="0"/>
                <w:numId w:val="13"/>
              </w:numPr>
              <w:spacing w:after="0"/>
              <w:rPr>
                <w:rFonts w:ascii="Arial" w:hAnsi="Arial" w:cs="Arial"/>
              </w:rPr>
            </w:pPr>
            <w:proofErr w:type="gramStart"/>
            <w:r>
              <w:rPr>
                <w:rFonts w:ascii="Arial" w:hAnsi="Arial" w:cs="Arial"/>
              </w:rPr>
              <w:t>limits</w:t>
            </w:r>
            <w:proofErr w:type="gramEnd"/>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hint="eastAsia"/>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hint="eastAsia"/>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hint="eastAsia"/>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w:t>
            </w:r>
            <w:proofErr w:type="spellStart"/>
            <w:r w:rsidR="006C18E6">
              <w:rPr>
                <w:rFonts w:ascii="Arial" w:hAnsi="Arial" w:cs="Arial" w:hint="eastAsia"/>
                <w:lang w:eastAsia="zh-CN"/>
              </w:rPr>
              <w:t>RedCap</w:t>
            </w:r>
            <w:proofErr w:type="spellEnd"/>
            <w:r w:rsidR="006C18E6">
              <w:rPr>
                <w:rFonts w:ascii="Arial" w:hAnsi="Arial" w:cs="Arial" w:hint="eastAsia"/>
                <w:lang w:eastAsia="zh-CN"/>
              </w:rPr>
              <w:t xml:space="preserve"> UE is numerous in the system. </w:t>
            </w:r>
            <w:r>
              <w:rPr>
                <w:rFonts w:ascii="Arial" w:hAnsi="Arial" w:cs="Arial" w:hint="eastAsia"/>
                <w:lang w:eastAsia="zh-CN"/>
              </w:rPr>
              <w:t xml:space="preserve">Group scheduling is </w:t>
            </w:r>
            <w:r w:rsidR="006C18E6">
              <w:rPr>
                <w:rFonts w:ascii="Arial" w:hAnsi="Arial" w:cs="Arial" w:hint="eastAsia"/>
                <w:lang w:eastAsia="zh-CN"/>
              </w:rPr>
              <w:t>a straightforward way to reduce PDCCH overhead</w:t>
            </w:r>
            <w:proofErr w:type="gramStart"/>
            <w:r w:rsidR="006C18E6">
              <w:rPr>
                <w:rFonts w:ascii="Arial" w:hAnsi="Arial" w:cs="Arial" w:hint="eastAsia"/>
                <w:lang w:eastAsia="zh-CN"/>
              </w:rPr>
              <w:t xml:space="preserve">, </w:t>
            </w:r>
            <w:r>
              <w:rPr>
                <w:rFonts w:ascii="Arial" w:hAnsi="Arial" w:cs="Arial" w:hint="eastAsia"/>
                <w:lang w:eastAsia="zh-CN"/>
              </w:rPr>
              <w:t xml:space="preserve"> which</w:t>
            </w:r>
            <w:proofErr w:type="gramEnd"/>
            <w:r>
              <w:rPr>
                <w:rFonts w:ascii="Arial" w:hAnsi="Arial" w:cs="Arial" w:hint="eastAsia"/>
                <w:lang w:eastAsia="zh-CN"/>
              </w:rPr>
              <w:t xml:space="preserve">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4CA6A0BB" w:rsidR="00A13970" w:rsidRPr="00821570" w:rsidRDefault="00A13970" w:rsidP="00192778">
            <w:pPr>
              <w:spacing w:after="0"/>
              <w:rPr>
                <w:rFonts w:ascii="Arial" w:hAnsi="Arial" w:cs="Arial"/>
              </w:rPr>
            </w:pPr>
          </w:p>
        </w:tc>
        <w:tc>
          <w:tcPr>
            <w:tcW w:w="7694" w:type="dxa"/>
          </w:tcPr>
          <w:p w14:paraId="41A23A03" w14:textId="77777777" w:rsidR="00A13970" w:rsidRPr="006C18E6" w:rsidRDefault="00A13970" w:rsidP="0019277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w:t>
      </w:r>
      <w:proofErr w:type="gramStart"/>
      <w:r w:rsidR="00E51569" w:rsidRPr="00945ECA">
        <w:rPr>
          <w:rFonts w:ascii="Arial" w:eastAsiaTheme="minorEastAsia" w:hAnsi="Arial" w:cs="Arial"/>
          <w:lang w:val="en-US" w:eastAsia="x-none"/>
        </w:rPr>
        <w:t>,7,10,12,15,18,19,23</w:t>
      </w:r>
      <w:proofErr w:type="gramEnd"/>
      <w:r w:rsidR="00E51569" w:rsidRPr="00945ECA">
        <w:rPr>
          <w:rFonts w:ascii="Arial" w:eastAsiaTheme="minorEastAsia" w:hAnsi="Arial" w:cs="Arial"/>
          <w:lang w:val="en-US" w:eastAsia="x-none"/>
        </w:rPr>
        <w:t>]</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w:t>
      </w:r>
      <w:proofErr w:type="gramStart"/>
      <w:r>
        <w:rPr>
          <w:rFonts w:ascii="Arial" w:hAnsi="Arial" w:cs="Arial"/>
          <w:b/>
          <w:bCs/>
        </w:rPr>
        <w:t>be</w:t>
      </w:r>
      <w:proofErr w:type="gramEnd"/>
      <w:r>
        <w:rPr>
          <w:rFonts w:ascii="Arial" w:hAnsi="Arial" w:cs="Arial"/>
          <w:b/>
          <w:bCs/>
        </w:rPr>
        <w:t xml:space="preserve"> supported for Redcap device to reduce PDCCH monitoring power? If not, why? </w:t>
      </w:r>
    </w:p>
    <w:tbl>
      <w:tblPr>
        <w:tblStyle w:val="a8"/>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DB0027">
            <w:pPr>
              <w:spacing w:after="0"/>
              <w:rPr>
                <w:rFonts w:ascii="Arial" w:hAnsi="Arial" w:cs="Arial" w:hint="eastAsia"/>
                <w:lang w:eastAsia="zh-CN"/>
              </w:rPr>
            </w:pPr>
            <w:r>
              <w:rPr>
                <w:rFonts w:ascii="Arial" w:hAnsi="Arial" w:cs="Arial" w:hint="eastAsia"/>
                <w:lang w:eastAsia="zh-CN"/>
              </w:rPr>
              <w:t>CATT</w:t>
            </w:r>
          </w:p>
        </w:tc>
        <w:tc>
          <w:tcPr>
            <w:tcW w:w="8360" w:type="dxa"/>
          </w:tcPr>
          <w:p w14:paraId="53D27256" w14:textId="77777777" w:rsidR="006C18E6" w:rsidRPr="00C57FE0" w:rsidRDefault="006C18E6" w:rsidP="00DB0027">
            <w:pPr>
              <w:spacing w:after="0"/>
              <w:rPr>
                <w:rFonts w:ascii="Arial" w:hAnsi="Arial" w:cs="Arial" w:hint="eastAsia"/>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77777777" w:rsidR="00FB58CD" w:rsidRPr="006C18E6" w:rsidRDefault="00FB58CD" w:rsidP="00192778">
            <w:pPr>
              <w:spacing w:after="0"/>
              <w:rPr>
                <w:rFonts w:ascii="Arial" w:hAnsi="Arial" w:cs="Arial"/>
              </w:rPr>
            </w:pPr>
          </w:p>
        </w:tc>
        <w:tc>
          <w:tcPr>
            <w:tcW w:w="8360" w:type="dxa"/>
          </w:tcPr>
          <w:p w14:paraId="5F9DE141" w14:textId="77777777" w:rsidR="00FB58CD" w:rsidRPr="00C57FE0" w:rsidRDefault="00FB58CD" w:rsidP="0019277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proofErr w:type="gramStart"/>
      <w:r w:rsidRPr="007B5207">
        <w:rPr>
          <w:rFonts w:ascii="Arial" w:eastAsiaTheme="minorEastAsia" w:hAnsi="Arial" w:cs="Arial"/>
          <w:lang w:val="en-US" w:eastAsia="x-none"/>
        </w:rPr>
        <w:t>,</w:t>
      </w:r>
      <w:r w:rsidR="005030A5">
        <w:rPr>
          <w:rFonts w:ascii="Arial" w:eastAsiaTheme="minorEastAsia" w:hAnsi="Arial" w:cs="Arial"/>
          <w:lang w:val="en-US" w:eastAsia="x-none"/>
        </w:rPr>
        <w:t>18</w:t>
      </w:r>
      <w:proofErr w:type="gramEnd"/>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t>
      </w:r>
      <w:proofErr w:type="gramStart"/>
      <w:r>
        <w:rPr>
          <w:rFonts w:ascii="Arial" w:hAnsi="Arial" w:cs="Arial"/>
          <w:b/>
          <w:bCs/>
        </w:rPr>
        <w:t>why</w:t>
      </w:r>
      <w:proofErr w:type="gramEnd"/>
      <w:r>
        <w:rPr>
          <w:rFonts w:ascii="Arial" w:hAnsi="Arial" w:cs="Arial"/>
          <w:b/>
          <w:bCs/>
        </w:rPr>
        <w:t xml:space="preserve">? </w:t>
      </w:r>
    </w:p>
    <w:tbl>
      <w:tblPr>
        <w:tblStyle w:val="a8"/>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 xml:space="preserve">Yes. Assuming that the RedCap UE can perform a certain number of BDs per slot, larger number of BDs can be still achieved if the span gap is increased. Hence, allowing for </w:t>
            </w:r>
            <w:r>
              <w:rPr>
                <w:rFonts w:ascii="Arial" w:hAnsi="Arial" w:cs="Arial"/>
              </w:rPr>
              <w:lastRenderedPageBreak/>
              <w:t>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lastRenderedPageBreak/>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w:t>
      </w:r>
      <w:proofErr w:type="gramStart"/>
      <w:r>
        <w:rPr>
          <w:rFonts w:ascii="Arial" w:eastAsiaTheme="minorEastAsia" w:hAnsi="Arial" w:cs="Arial"/>
          <w:lang w:val="en-US" w:eastAsia="x-none"/>
        </w:rPr>
        <w:t>,14,26</w:t>
      </w:r>
      <w:proofErr w:type="gramEnd"/>
      <w:r>
        <w:rPr>
          <w:rFonts w:ascii="Arial" w:eastAsiaTheme="minorEastAsia" w:hAnsi="Arial" w:cs="Arial"/>
          <w:lang w:val="en-US" w:eastAsia="x-none"/>
        </w:rPr>
        <w:t>],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w:t>
      </w:r>
      <w:proofErr w:type="gramStart"/>
      <w:r>
        <w:rPr>
          <w:rFonts w:ascii="Arial" w:eastAsiaTheme="minorEastAsia" w:hAnsi="Arial" w:cs="Arial"/>
          <w:lang w:val="en-US" w:eastAsia="x-none"/>
        </w:rPr>
        <w:t>clarifies</w:t>
      </w:r>
      <w:proofErr w:type="gramEnd"/>
      <w:r>
        <w:rPr>
          <w:rFonts w:ascii="Arial" w:eastAsiaTheme="minorEastAsia" w:hAnsi="Arial" w:cs="Arial"/>
          <w:lang w:val="en-US" w:eastAsia="x-none"/>
        </w:rPr>
        <w:t xml:space="preserve">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a8"/>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DB0027">
            <w:pPr>
              <w:spacing w:after="0"/>
              <w:rPr>
                <w:rFonts w:ascii="Arial" w:hAnsi="Arial" w:cs="Arial" w:hint="eastAsia"/>
                <w:lang w:eastAsia="zh-CN"/>
              </w:rPr>
            </w:pPr>
            <w:r>
              <w:rPr>
                <w:rFonts w:ascii="Arial" w:hAnsi="Arial" w:cs="Arial" w:hint="eastAsia"/>
                <w:lang w:eastAsia="zh-CN"/>
              </w:rPr>
              <w:t>CATT</w:t>
            </w:r>
          </w:p>
        </w:tc>
        <w:tc>
          <w:tcPr>
            <w:tcW w:w="8218" w:type="dxa"/>
          </w:tcPr>
          <w:p w14:paraId="005521C0" w14:textId="77777777" w:rsidR="006C18E6" w:rsidRPr="00AF56D3" w:rsidRDefault="006C18E6" w:rsidP="00DB0027">
            <w:pPr>
              <w:spacing w:after="0"/>
              <w:rPr>
                <w:rFonts w:ascii="Arial" w:hAnsi="Arial" w:cs="Arial" w:hint="eastAsia"/>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77777777" w:rsidR="00192778" w:rsidRPr="006C18E6" w:rsidRDefault="00192778" w:rsidP="00192778">
            <w:pPr>
              <w:spacing w:after="0"/>
              <w:rPr>
                <w:rFonts w:ascii="Arial" w:hAnsi="Arial" w:cs="Arial"/>
              </w:rPr>
            </w:pPr>
          </w:p>
        </w:tc>
        <w:tc>
          <w:tcPr>
            <w:tcW w:w="8218" w:type="dxa"/>
          </w:tcPr>
          <w:p w14:paraId="76051360" w14:textId="77777777" w:rsidR="00192778" w:rsidRPr="00AF56D3" w:rsidRDefault="00192778" w:rsidP="00192778">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w:t>
      </w:r>
      <w:proofErr w:type="gramStart"/>
      <w:r w:rsidR="00AF56D3">
        <w:rPr>
          <w:rFonts w:ascii="Arial" w:eastAsiaTheme="minorEastAsia" w:hAnsi="Arial" w:cs="Arial"/>
          <w:lang w:val="en-US" w:eastAsia="x-none"/>
        </w:rPr>
        <w:t>further</w:t>
      </w:r>
      <w:proofErr w:type="gramEnd"/>
      <w:r w:rsidR="00AF56D3">
        <w:rPr>
          <w:rFonts w:ascii="Arial" w:eastAsiaTheme="minorEastAsia" w:hAnsi="Arial" w:cs="Arial"/>
          <w:lang w:val="en-US" w:eastAsia="x-none"/>
        </w:rPr>
        <w:t xml:space="preserve">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w:t>
      </w:r>
      <w:r w:rsidR="00AF56D3">
        <w:rPr>
          <w:rFonts w:ascii="Arial" w:eastAsiaTheme="minorEastAsia" w:hAnsi="Arial" w:cs="Arial"/>
          <w:lang w:val="en-US" w:eastAsia="x-none"/>
        </w:rPr>
        <w:lastRenderedPageBreak/>
        <w:t xml:space="preserve">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hint="eastAsia"/>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hint="eastAsia"/>
                <w:lang w:eastAsia="zh-CN"/>
              </w:rPr>
            </w:pPr>
            <w:r>
              <w:rPr>
                <w:rFonts w:ascii="Arial" w:hAnsi="Arial" w:cs="Arial" w:hint="eastAsia"/>
                <w:lang w:eastAsia="zh-CN"/>
              </w:rPr>
              <w:t>Similar views as MTK and Futurewei.</w:t>
            </w:r>
            <w:bookmarkStart w:id="2" w:name="_GoBack"/>
            <w:bookmarkEnd w:id="2"/>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7"/>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9"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a"/>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821570" w:rsidP="00997F8F">
      <w:pPr>
        <w:pStyle w:val="aa"/>
        <w:numPr>
          <w:ilvl w:val="0"/>
          <w:numId w:val="1"/>
        </w:numPr>
        <w:rPr>
          <w:rFonts w:cs="Arial"/>
          <w:sz w:val="20"/>
          <w:szCs w:val="20"/>
          <w:lang w:eastAsia="x-none"/>
        </w:rPr>
      </w:pPr>
      <w:hyperlink r:id="rId10" w:history="1">
        <w:r w:rsidR="00997F8F" w:rsidRPr="00997F8F">
          <w:rPr>
            <w:rStyle w:val="ac"/>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821570" w:rsidP="00ED423B">
      <w:pPr>
        <w:pStyle w:val="aa"/>
        <w:numPr>
          <w:ilvl w:val="0"/>
          <w:numId w:val="1"/>
        </w:numPr>
        <w:rPr>
          <w:rFonts w:cs="Arial"/>
          <w:sz w:val="20"/>
          <w:szCs w:val="20"/>
          <w:lang w:eastAsia="x-none"/>
        </w:rPr>
      </w:pPr>
      <w:hyperlink r:id="rId11" w:history="1">
        <w:r w:rsidR="00997F8F" w:rsidRPr="00997F8F">
          <w:rPr>
            <w:rStyle w:val="ac"/>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821570" w:rsidP="00ED423B">
      <w:pPr>
        <w:pStyle w:val="aa"/>
        <w:numPr>
          <w:ilvl w:val="0"/>
          <w:numId w:val="1"/>
        </w:numPr>
        <w:rPr>
          <w:rFonts w:cs="Arial"/>
          <w:sz w:val="20"/>
          <w:szCs w:val="20"/>
          <w:lang w:eastAsia="x-none"/>
        </w:rPr>
      </w:pPr>
      <w:hyperlink r:id="rId12" w:history="1">
        <w:r w:rsidR="00997F8F" w:rsidRPr="00997F8F">
          <w:rPr>
            <w:rStyle w:val="ac"/>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821570" w:rsidP="00ED423B">
      <w:pPr>
        <w:pStyle w:val="aa"/>
        <w:numPr>
          <w:ilvl w:val="0"/>
          <w:numId w:val="1"/>
        </w:numPr>
        <w:rPr>
          <w:rFonts w:cs="Arial"/>
          <w:sz w:val="20"/>
          <w:szCs w:val="20"/>
          <w:lang w:eastAsia="x-none"/>
        </w:rPr>
      </w:pPr>
      <w:hyperlink r:id="rId13" w:history="1">
        <w:r w:rsidR="00997F8F" w:rsidRPr="00997F8F">
          <w:rPr>
            <w:rStyle w:val="ac"/>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821570" w:rsidP="00ED423B">
      <w:pPr>
        <w:pStyle w:val="aa"/>
        <w:numPr>
          <w:ilvl w:val="0"/>
          <w:numId w:val="1"/>
        </w:numPr>
        <w:rPr>
          <w:rFonts w:cs="Arial"/>
          <w:sz w:val="20"/>
          <w:szCs w:val="20"/>
          <w:lang w:eastAsia="x-none"/>
        </w:rPr>
      </w:pPr>
      <w:hyperlink r:id="rId14" w:history="1">
        <w:r w:rsidR="00997F8F" w:rsidRPr="00997F8F">
          <w:rPr>
            <w:rStyle w:val="ac"/>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821570" w:rsidP="00ED423B">
      <w:pPr>
        <w:pStyle w:val="aa"/>
        <w:numPr>
          <w:ilvl w:val="0"/>
          <w:numId w:val="1"/>
        </w:numPr>
        <w:rPr>
          <w:rFonts w:cs="Arial"/>
          <w:sz w:val="20"/>
          <w:szCs w:val="20"/>
          <w:lang w:eastAsia="x-none"/>
        </w:rPr>
      </w:pPr>
      <w:hyperlink r:id="rId15" w:history="1">
        <w:r w:rsidR="00997F8F" w:rsidRPr="00997F8F">
          <w:rPr>
            <w:rStyle w:val="ac"/>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821570" w:rsidP="00ED423B">
      <w:pPr>
        <w:pStyle w:val="aa"/>
        <w:numPr>
          <w:ilvl w:val="0"/>
          <w:numId w:val="1"/>
        </w:numPr>
        <w:rPr>
          <w:rFonts w:cs="Arial"/>
          <w:sz w:val="20"/>
          <w:szCs w:val="20"/>
          <w:lang w:eastAsia="x-none"/>
        </w:rPr>
      </w:pPr>
      <w:hyperlink r:id="rId16" w:history="1">
        <w:r w:rsidR="00997F8F" w:rsidRPr="00997F8F">
          <w:rPr>
            <w:rStyle w:val="ac"/>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821570" w:rsidP="00ED423B">
      <w:pPr>
        <w:pStyle w:val="aa"/>
        <w:numPr>
          <w:ilvl w:val="0"/>
          <w:numId w:val="1"/>
        </w:numPr>
        <w:rPr>
          <w:rFonts w:cs="Arial"/>
          <w:sz w:val="20"/>
          <w:szCs w:val="20"/>
          <w:lang w:eastAsia="x-none"/>
        </w:rPr>
      </w:pPr>
      <w:hyperlink r:id="rId17" w:history="1">
        <w:r w:rsidR="00997F8F" w:rsidRPr="00997F8F">
          <w:rPr>
            <w:rStyle w:val="ac"/>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821570" w:rsidP="00ED423B">
      <w:pPr>
        <w:pStyle w:val="aa"/>
        <w:numPr>
          <w:ilvl w:val="0"/>
          <w:numId w:val="1"/>
        </w:numPr>
        <w:rPr>
          <w:rFonts w:cs="Arial"/>
          <w:sz w:val="20"/>
          <w:szCs w:val="20"/>
          <w:lang w:eastAsia="x-none"/>
        </w:rPr>
      </w:pPr>
      <w:hyperlink r:id="rId18" w:history="1">
        <w:r w:rsidR="00997F8F" w:rsidRPr="00997F8F">
          <w:rPr>
            <w:rStyle w:val="ac"/>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821570" w:rsidP="00ED423B">
      <w:pPr>
        <w:pStyle w:val="aa"/>
        <w:numPr>
          <w:ilvl w:val="0"/>
          <w:numId w:val="1"/>
        </w:numPr>
        <w:rPr>
          <w:rFonts w:cs="Arial"/>
          <w:sz w:val="20"/>
          <w:szCs w:val="20"/>
          <w:lang w:eastAsia="x-none"/>
        </w:rPr>
      </w:pPr>
      <w:hyperlink r:id="rId19" w:history="1">
        <w:r w:rsidR="00997F8F" w:rsidRPr="00997F8F">
          <w:rPr>
            <w:rStyle w:val="ac"/>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821570" w:rsidP="00ED423B">
      <w:pPr>
        <w:pStyle w:val="aa"/>
        <w:numPr>
          <w:ilvl w:val="0"/>
          <w:numId w:val="1"/>
        </w:numPr>
        <w:rPr>
          <w:rFonts w:cs="Arial"/>
          <w:sz w:val="20"/>
          <w:szCs w:val="20"/>
          <w:lang w:eastAsia="x-none"/>
        </w:rPr>
      </w:pPr>
      <w:hyperlink r:id="rId20" w:history="1">
        <w:r w:rsidR="00997F8F" w:rsidRPr="00997F8F">
          <w:rPr>
            <w:rStyle w:val="ac"/>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821570" w:rsidP="00ED423B">
      <w:pPr>
        <w:pStyle w:val="aa"/>
        <w:numPr>
          <w:ilvl w:val="0"/>
          <w:numId w:val="1"/>
        </w:numPr>
        <w:rPr>
          <w:rFonts w:cs="Arial"/>
          <w:sz w:val="20"/>
          <w:szCs w:val="20"/>
          <w:lang w:eastAsia="x-none"/>
        </w:rPr>
      </w:pPr>
      <w:hyperlink r:id="rId21" w:history="1">
        <w:r w:rsidR="00997F8F" w:rsidRPr="00997F8F">
          <w:rPr>
            <w:rStyle w:val="ac"/>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821570" w:rsidP="00997F8F">
      <w:pPr>
        <w:pStyle w:val="aa"/>
        <w:numPr>
          <w:ilvl w:val="0"/>
          <w:numId w:val="1"/>
        </w:numPr>
        <w:ind w:left="450" w:hanging="450"/>
        <w:rPr>
          <w:rFonts w:cs="Arial"/>
          <w:sz w:val="20"/>
          <w:szCs w:val="20"/>
          <w:lang w:eastAsia="x-none"/>
        </w:rPr>
      </w:pPr>
      <w:hyperlink r:id="rId22" w:history="1">
        <w:r w:rsidR="00997F8F" w:rsidRPr="00997F8F">
          <w:rPr>
            <w:rStyle w:val="ac"/>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821570" w:rsidP="00997F8F">
      <w:pPr>
        <w:pStyle w:val="aa"/>
        <w:numPr>
          <w:ilvl w:val="0"/>
          <w:numId w:val="1"/>
        </w:numPr>
        <w:ind w:left="450" w:hanging="450"/>
        <w:rPr>
          <w:rFonts w:cs="Arial"/>
          <w:sz w:val="20"/>
          <w:szCs w:val="20"/>
          <w:lang w:eastAsia="x-none"/>
        </w:rPr>
      </w:pPr>
      <w:hyperlink r:id="rId23" w:history="1">
        <w:r w:rsidR="00997F8F" w:rsidRPr="00997F8F">
          <w:rPr>
            <w:rStyle w:val="ac"/>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821570" w:rsidP="00997F8F">
      <w:pPr>
        <w:pStyle w:val="aa"/>
        <w:numPr>
          <w:ilvl w:val="0"/>
          <w:numId w:val="1"/>
        </w:numPr>
        <w:ind w:left="450" w:hanging="450"/>
        <w:rPr>
          <w:rFonts w:cs="Arial"/>
          <w:sz w:val="20"/>
          <w:szCs w:val="20"/>
          <w:lang w:eastAsia="x-none"/>
        </w:rPr>
      </w:pPr>
      <w:hyperlink r:id="rId24" w:history="1">
        <w:r w:rsidR="00997F8F" w:rsidRPr="00997F8F">
          <w:rPr>
            <w:rStyle w:val="ac"/>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821570" w:rsidP="00997F8F">
      <w:pPr>
        <w:pStyle w:val="aa"/>
        <w:numPr>
          <w:ilvl w:val="0"/>
          <w:numId w:val="1"/>
        </w:numPr>
        <w:ind w:left="450" w:hanging="450"/>
        <w:rPr>
          <w:rFonts w:cs="Arial"/>
          <w:sz w:val="20"/>
          <w:szCs w:val="20"/>
          <w:lang w:eastAsia="x-none"/>
        </w:rPr>
      </w:pPr>
      <w:hyperlink r:id="rId25" w:history="1">
        <w:r w:rsidR="00997F8F" w:rsidRPr="00997F8F">
          <w:rPr>
            <w:rStyle w:val="ac"/>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821570" w:rsidP="00997F8F">
      <w:pPr>
        <w:pStyle w:val="aa"/>
        <w:numPr>
          <w:ilvl w:val="0"/>
          <w:numId w:val="1"/>
        </w:numPr>
        <w:ind w:left="450" w:hanging="450"/>
        <w:rPr>
          <w:rFonts w:cs="Arial"/>
          <w:sz w:val="20"/>
          <w:szCs w:val="20"/>
          <w:lang w:eastAsia="x-none"/>
        </w:rPr>
      </w:pPr>
      <w:hyperlink r:id="rId26" w:history="1">
        <w:r w:rsidR="00997F8F" w:rsidRPr="00997F8F">
          <w:rPr>
            <w:rStyle w:val="ac"/>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821570" w:rsidP="00997F8F">
      <w:pPr>
        <w:pStyle w:val="aa"/>
        <w:numPr>
          <w:ilvl w:val="0"/>
          <w:numId w:val="1"/>
        </w:numPr>
        <w:ind w:left="450" w:hanging="450"/>
        <w:rPr>
          <w:rFonts w:cs="Arial"/>
          <w:sz w:val="20"/>
          <w:szCs w:val="20"/>
          <w:lang w:eastAsia="x-none"/>
        </w:rPr>
      </w:pPr>
      <w:hyperlink r:id="rId27" w:history="1">
        <w:r w:rsidR="00997F8F" w:rsidRPr="00997F8F">
          <w:rPr>
            <w:rStyle w:val="ac"/>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821570" w:rsidP="00997F8F">
      <w:pPr>
        <w:pStyle w:val="aa"/>
        <w:numPr>
          <w:ilvl w:val="0"/>
          <w:numId w:val="1"/>
        </w:numPr>
        <w:ind w:left="450" w:hanging="450"/>
        <w:rPr>
          <w:rFonts w:cs="Arial"/>
          <w:sz w:val="20"/>
          <w:szCs w:val="20"/>
          <w:lang w:eastAsia="x-none"/>
        </w:rPr>
      </w:pPr>
      <w:hyperlink r:id="rId28" w:history="1">
        <w:r w:rsidR="00997F8F" w:rsidRPr="00997F8F">
          <w:rPr>
            <w:rStyle w:val="ac"/>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821570" w:rsidP="00997F8F">
      <w:pPr>
        <w:pStyle w:val="aa"/>
        <w:numPr>
          <w:ilvl w:val="0"/>
          <w:numId w:val="1"/>
        </w:numPr>
        <w:ind w:left="450" w:hanging="450"/>
        <w:rPr>
          <w:rFonts w:cs="Arial"/>
          <w:sz w:val="20"/>
          <w:szCs w:val="20"/>
          <w:lang w:eastAsia="x-none"/>
        </w:rPr>
      </w:pPr>
      <w:hyperlink r:id="rId29" w:history="1">
        <w:r w:rsidR="00997F8F" w:rsidRPr="00997F8F">
          <w:rPr>
            <w:rStyle w:val="ac"/>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821570" w:rsidP="00997F8F">
      <w:pPr>
        <w:pStyle w:val="aa"/>
        <w:numPr>
          <w:ilvl w:val="0"/>
          <w:numId w:val="1"/>
        </w:numPr>
        <w:ind w:left="450" w:hanging="450"/>
        <w:rPr>
          <w:rFonts w:cs="Arial"/>
          <w:sz w:val="20"/>
          <w:szCs w:val="20"/>
          <w:lang w:eastAsia="x-none"/>
        </w:rPr>
      </w:pPr>
      <w:hyperlink r:id="rId30" w:history="1">
        <w:r w:rsidR="00997F8F" w:rsidRPr="00997F8F">
          <w:rPr>
            <w:rStyle w:val="ac"/>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821570" w:rsidP="00997F8F">
      <w:pPr>
        <w:pStyle w:val="aa"/>
        <w:numPr>
          <w:ilvl w:val="0"/>
          <w:numId w:val="1"/>
        </w:numPr>
        <w:ind w:left="450" w:hanging="450"/>
        <w:rPr>
          <w:rFonts w:cs="Arial"/>
          <w:sz w:val="20"/>
          <w:szCs w:val="20"/>
          <w:lang w:eastAsia="x-none"/>
        </w:rPr>
      </w:pPr>
      <w:hyperlink r:id="rId31" w:history="1">
        <w:r w:rsidR="00997F8F" w:rsidRPr="00997F8F">
          <w:rPr>
            <w:rStyle w:val="ac"/>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821570" w:rsidP="00997F8F">
      <w:pPr>
        <w:pStyle w:val="aa"/>
        <w:numPr>
          <w:ilvl w:val="0"/>
          <w:numId w:val="1"/>
        </w:numPr>
        <w:ind w:left="450" w:hanging="450"/>
        <w:rPr>
          <w:rFonts w:cs="Arial"/>
          <w:sz w:val="20"/>
          <w:szCs w:val="20"/>
          <w:lang w:eastAsia="x-none"/>
        </w:rPr>
      </w:pPr>
      <w:hyperlink r:id="rId32" w:history="1">
        <w:r w:rsidR="00997F8F" w:rsidRPr="00997F8F">
          <w:rPr>
            <w:rStyle w:val="ac"/>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821570" w:rsidP="00997F8F">
      <w:pPr>
        <w:pStyle w:val="aa"/>
        <w:numPr>
          <w:ilvl w:val="0"/>
          <w:numId w:val="1"/>
        </w:numPr>
        <w:ind w:left="450" w:hanging="450"/>
        <w:rPr>
          <w:rFonts w:cs="Arial"/>
          <w:sz w:val="20"/>
          <w:szCs w:val="20"/>
          <w:lang w:eastAsia="x-none"/>
        </w:rPr>
      </w:pPr>
      <w:hyperlink r:id="rId33" w:history="1">
        <w:r w:rsidR="00997F8F" w:rsidRPr="00997F8F">
          <w:rPr>
            <w:rStyle w:val="ac"/>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821570" w:rsidP="00997F8F">
      <w:pPr>
        <w:pStyle w:val="aa"/>
        <w:numPr>
          <w:ilvl w:val="0"/>
          <w:numId w:val="1"/>
        </w:numPr>
        <w:ind w:left="450" w:hanging="450"/>
        <w:rPr>
          <w:rFonts w:cs="Arial"/>
          <w:sz w:val="20"/>
          <w:szCs w:val="20"/>
          <w:lang w:eastAsia="x-none"/>
        </w:rPr>
      </w:pPr>
      <w:hyperlink r:id="rId34" w:history="1">
        <w:r w:rsidR="00997F8F" w:rsidRPr="00997F8F">
          <w:rPr>
            <w:rStyle w:val="ac"/>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821570" w:rsidP="00997F8F">
      <w:pPr>
        <w:pStyle w:val="aa"/>
        <w:numPr>
          <w:ilvl w:val="0"/>
          <w:numId w:val="1"/>
        </w:numPr>
        <w:ind w:left="450" w:hanging="450"/>
        <w:rPr>
          <w:rFonts w:cs="Arial"/>
          <w:sz w:val="20"/>
          <w:szCs w:val="20"/>
          <w:lang w:eastAsia="x-none"/>
        </w:rPr>
      </w:pPr>
      <w:hyperlink r:id="rId35" w:history="1">
        <w:r w:rsidR="00997F8F" w:rsidRPr="00997F8F">
          <w:rPr>
            <w:rStyle w:val="ac"/>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821570" w:rsidP="00CA6DFB">
      <w:pPr>
        <w:pStyle w:val="aa"/>
        <w:numPr>
          <w:ilvl w:val="0"/>
          <w:numId w:val="1"/>
        </w:numPr>
        <w:ind w:left="450" w:hanging="450"/>
        <w:rPr>
          <w:rFonts w:cs="Arial"/>
          <w:sz w:val="20"/>
          <w:szCs w:val="20"/>
          <w:lang w:eastAsia="x-none"/>
        </w:rPr>
      </w:pPr>
      <w:hyperlink r:id="rId36" w:history="1">
        <w:r w:rsidR="00997F8F" w:rsidRPr="00997F8F">
          <w:rPr>
            <w:rStyle w:val="ac"/>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a"/>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a"/>
        <w:rPr>
          <w:rFonts w:cs="Arial"/>
          <w:sz w:val="20"/>
          <w:szCs w:val="20"/>
          <w:lang w:eastAsia="x-none"/>
        </w:rPr>
      </w:pPr>
    </w:p>
    <w:p w14:paraId="43CF1A04" w14:textId="741870A2" w:rsidR="00997F8F" w:rsidRPr="00C83E6C" w:rsidRDefault="00997F8F" w:rsidP="00997F8F">
      <w:pPr>
        <w:pStyle w:val="aa"/>
        <w:ind w:left="420"/>
        <w:rPr>
          <w:rFonts w:cs="Arial"/>
          <w:sz w:val="20"/>
          <w:szCs w:val="20"/>
          <w:lang w:eastAsia="x-none"/>
        </w:rPr>
      </w:pPr>
    </w:p>
    <w:sectPr w:rsidR="00997F8F" w:rsidRPr="00C83E6C" w:rsidSect="00B975F2">
      <w:headerReference w:type="even" r:id="rId37"/>
      <w:footerReference w:type="even" r:id="rId38"/>
      <w:footerReference w:type="default" r:id="rId3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4BC58" w14:textId="77777777" w:rsidR="006E00C0" w:rsidRDefault="006E00C0">
      <w:pPr>
        <w:spacing w:after="0"/>
      </w:pPr>
      <w:r>
        <w:separator/>
      </w:r>
    </w:p>
  </w:endnote>
  <w:endnote w:type="continuationSeparator" w:id="0">
    <w:p w14:paraId="06590AED" w14:textId="77777777" w:rsidR="006E00C0" w:rsidRDefault="006E0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F7E6" w14:textId="77777777" w:rsidR="00821570" w:rsidRDefault="00821570" w:rsidP="00982A3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821570" w:rsidRDefault="00821570" w:rsidP="00982A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FFA7" w14:textId="710CE9A3" w:rsidR="00821570" w:rsidRDefault="00821570" w:rsidP="00982A3E">
    <w:pPr>
      <w:pStyle w:val="a4"/>
      <w:ind w:right="360"/>
    </w:pPr>
    <w:r>
      <w:rPr>
        <w:rStyle w:val="a6"/>
      </w:rPr>
      <w:fldChar w:fldCharType="begin"/>
    </w:r>
    <w:r>
      <w:rPr>
        <w:rStyle w:val="a6"/>
      </w:rPr>
      <w:instrText xml:space="preserve"> PAGE </w:instrText>
    </w:r>
    <w:r>
      <w:rPr>
        <w:rStyle w:val="a6"/>
      </w:rPr>
      <w:fldChar w:fldCharType="separate"/>
    </w:r>
    <w:r w:rsidR="007A23A5">
      <w:rPr>
        <w:rStyle w:val="a6"/>
      </w:rPr>
      <w:t>12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7A23A5">
      <w:rPr>
        <w:rStyle w:val="a6"/>
      </w:rPr>
      <w:t>13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3378A" w14:textId="77777777" w:rsidR="006E00C0" w:rsidRDefault="006E00C0">
      <w:pPr>
        <w:spacing w:after="0"/>
      </w:pPr>
      <w:r>
        <w:separator/>
      </w:r>
    </w:p>
  </w:footnote>
  <w:footnote w:type="continuationSeparator" w:id="0">
    <w:p w14:paraId="79FC87A5" w14:textId="77777777" w:rsidR="006E00C0" w:rsidRDefault="006E00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A641" w14:textId="77777777" w:rsidR="00821570" w:rsidRDefault="0082157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2"/>
  </w:num>
  <w:num w:numId="7">
    <w:abstractNumId w:val="5"/>
  </w:num>
  <w:num w:numId="8">
    <w:abstractNumId w:val="8"/>
  </w:num>
  <w:num w:numId="9">
    <w:abstractNumId w:val="1"/>
  </w:num>
  <w:num w:numId="10">
    <w:abstractNumId w:val="3"/>
  </w:num>
  <w:num w:numId="11">
    <w:abstractNumId w:val="0"/>
  </w:num>
  <w:num w:numId="12">
    <w:abstractNumId w:val="10"/>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23A5"/>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3970"/>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B58CD"/>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Emphasis"/>
    <w:qFormat/>
    <w:rsid w:val="001202FA"/>
    <w:rPr>
      <w:i/>
      <w:iCs/>
    </w:rPr>
  </w:style>
  <w:style w:type="character" w:customStyle="1" w:styleId="apple-converted-space">
    <w:name w:val="apple-converted-space"/>
    <w:basedOn w:val="a0"/>
    <w:qFormat/>
    <w:rsid w:val="00BC1FC0"/>
  </w:style>
  <w:style w:type="character" w:styleId="ac">
    <w:name w:val="Hyperlink"/>
    <w:uiPriority w:val="99"/>
    <w:rsid w:val="00AB498F"/>
    <w:rPr>
      <w:color w:val="0000FF"/>
      <w:u w:val="single"/>
    </w:rPr>
  </w:style>
  <w:style w:type="paragraph" w:customStyle="1" w:styleId="B1">
    <w:name w:val="B1"/>
    <w:basedOn w:val="ad"/>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d">
    <w:name w:val="List"/>
    <w:basedOn w:val="a"/>
    <w:uiPriority w:val="99"/>
    <w:semiHidden/>
    <w:unhideWhenUsed/>
    <w:rsid w:val="008D7EAF"/>
    <w:pPr>
      <w:ind w:left="360" w:hanging="360"/>
      <w:contextualSpacing/>
    </w:pPr>
  </w:style>
  <w:style w:type="paragraph" w:customStyle="1" w:styleId="B2">
    <w:name w:val="B2"/>
    <w:basedOn w:val="20"/>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e">
    <w:name w:val="annotation reference"/>
    <w:basedOn w:val="a0"/>
    <w:uiPriority w:val="99"/>
    <w:semiHidden/>
    <w:unhideWhenUsed/>
    <w:rsid w:val="00655556"/>
    <w:rPr>
      <w:sz w:val="21"/>
      <w:szCs w:val="21"/>
    </w:rPr>
  </w:style>
  <w:style w:type="paragraph" w:styleId="af">
    <w:name w:val="annotation text"/>
    <w:basedOn w:val="a"/>
    <w:link w:val="Char4"/>
    <w:uiPriority w:val="99"/>
    <w:semiHidden/>
    <w:unhideWhenUsed/>
    <w:rsid w:val="00655556"/>
  </w:style>
  <w:style w:type="character" w:customStyle="1" w:styleId="Char4">
    <w:name w:val="批注文字 Char"/>
    <w:basedOn w:val="a0"/>
    <w:link w:val="af"/>
    <w:uiPriority w:val="99"/>
    <w:semiHidden/>
    <w:rsid w:val="00655556"/>
    <w:rPr>
      <w:rFonts w:ascii="Times New Roman" w:eastAsia="宋体" w:hAnsi="Times New Roman" w:cs="Times New Roman"/>
      <w:sz w:val="20"/>
      <w:szCs w:val="20"/>
      <w:lang w:val="en-GB" w:eastAsia="en-US"/>
    </w:rPr>
  </w:style>
  <w:style w:type="paragraph" w:styleId="af0">
    <w:name w:val="annotation subject"/>
    <w:basedOn w:val="af"/>
    <w:next w:val="af"/>
    <w:link w:val="Char5"/>
    <w:uiPriority w:val="99"/>
    <w:semiHidden/>
    <w:unhideWhenUsed/>
    <w:rsid w:val="00655556"/>
    <w:rPr>
      <w:b/>
      <w:bCs/>
    </w:rPr>
  </w:style>
  <w:style w:type="character" w:customStyle="1" w:styleId="Char5">
    <w:name w:val="批注主题 Char"/>
    <w:basedOn w:val="Char4"/>
    <w:link w:val="af0"/>
    <w:uiPriority w:val="99"/>
    <w:semiHidden/>
    <w:rsid w:val="00655556"/>
    <w:rPr>
      <w:rFonts w:ascii="Times New Roman" w:eastAsia="宋体" w:hAnsi="Times New Roman"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Emphasis"/>
    <w:qFormat/>
    <w:rsid w:val="001202FA"/>
    <w:rPr>
      <w:i/>
      <w:iCs/>
    </w:rPr>
  </w:style>
  <w:style w:type="character" w:customStyle="1" w:styleId="apple-converted-space">
    <w:name w:val="apple-converted-space"/>
    <w:basedOn w:val="a0"/>
    <w:qFormat/>
    <w:rsid w:val="00BC1FC0"/>
  </w:style>
  <w:style w:type="character" w:styleId="ac">
    <w:name w:val="Hyperlink"/>
    <w:uiPriority w:val="99"/>
    <w:rsid w:val="00AB498F"/>
    <w:rPr>
      <w:color w:val="0000FF"/>
      <w:u w:val="single"/>
    </w:rPr>
  </w:style>
  <w:style w:type="paragraph" w:customStyle="1" w:styleId="B1">
    <w:name w:val="B1"/>
    <w:basedOn w:val="ad"/>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d">
    <w:name w:val="List"/>
    <w:basedOn w:val="a"/>
    <w:uiPriority w:val="99"/>
    <w:semiHidden/>
    <w:unhideWhenUsed/>
    <w:rsid w:val="008D7EAF"/>
    <w:pPr>
      <w:ind w:left="360" w:hanging="360"/>
      <w:contextualSpacing/>
    </w:pPr>
  </w:style>
  <w:style w:type="paragraph" w:customStyle="1" w:styleId="B2">
    <w:name w:val="B2"/>
    <w:basedOn w:val="20"/>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e">
    <w:name w:val="annotation reference"/>
    <w:basedOn w:val="a0"/>
    <w:uiPriority w:val="99"/>
    <w:semiHidden/>
    <w:unhideWhenUsed/>
    <w:rsid w:val="00655556"/>
    <w:rPr>
      <w:sz w:val="21"/>
      <w:szCs w:val="21"/>
    </w:rPr>
  </w:style>
  <w:style w:type="paragraph" w:styleId="af">
    <w:name w:val="annotation text"/>
    <w:basedOn w:val="a"/>
    <w:link w:val="Char4"/>
    <w:uiPriority w:val="99"/>
    <w:semiHidden/>
    <w:unhideWhenUsed/>
    <w:rsid w:val="00655556"/>
  </w:style>
  <w:style w:type="character" w:customStyle="1" w:styleId="Char4">
    <w:name w:val="批注文字 Char"/>
    <w:basedOn w:val="a0"/>
    <w:link w:val="af"/>
    <w:uiPriority w:val="99"/>
    <w:semiHidden/>
    <w:rsid w:val="00655556"/>
    <w:rPr>
      <w:rFonts w:ascii="Times New Roman" w:eastAsia="宋体" w:hAnsi="Times New Roman" w:cs="Times New Roman"/>
      <w:sz w:val="20"/>
      <w:szCs w:val="20"/>
      <w:lang w:val="en-GB" w:eastAsia="en-US"/>
    </w:rPr>
  </w:style>
  <w:style w:type="paragraph" w:styleId="af0">
    <w:name w:val="annotation subject"/>
    <w:basedOn w:val="af"/>
    <w:next w:val="af"/>
    <w:link w:val="Char5"/>
    <w:uiPriority w:val="99"/>
    <w:semiHidden/>
    <w:unhideWhenUsed/>
    <w:rsid w:val="00655556"/>
    <w:rPr>
      <w:b/>
      <w:bCs/>
    </w:rPr>
  </w:style>
  <w:style w:type="character" w:customStyle="1" w:styleId="Char5">
    <w:name w:val="批注主题 Char"/>
    <w:basedOn w:val="Char4"/>
    <w:link w:val="af0"/>
    <w:uiPriority w:val="99"/>
    <w:semiHidden/>
    <w:rsid w:val="00655556"/>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475.zip" TargetMode="External"/><Relationship Id="rId18" Type="http://schemas.openxmlformats.org/officeDocument/2006/relationships/hyperlink" Target="file:///C:\Users\wanshic\OneDrive%20-%20Qualcomm\Documents\Standards\3GPP%20Standards\Meeting%20Documents\TSGR1_102\Docs\R1-2005771.zip" TargetMode="External"/><Relationship Id="rId26" Type="http://schemas.openxmlformats.org/officeDocument/2006/relationships/hyperlink" Target="file:///C:\Users\wanshic\OneDrive%20-%20Qualcomm\Documents\Standards\3GPP%20Standards\Meeting%20Documents\TSGR1_102\Docs\R1-2006218.zip"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881.zip" TargetMode="External"/><Relationship Id="rId34" Type="http://schemas.openxmlformats.org/officeDocument/2006/relationships/hyperlink" Target="file:///C:\Users\wanshic\OneDrive%20-%20Qualcomm\Documents\Standards\3GPP%20Standards\Meeting%20Documents\TSGR1_102\Docs\R1-2006839.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384.zip" TargetMode="External"/><Relationship Id="rId17" Type="http://schemas.openxmlformats.org/officeDocument/2006/relationships/hyperlink" Target="file:///C:\Users\wanshic\OneDrive%20-%20Qualcomm\Documents\Standards\3GPP%20Standards\Meeting%20Documents\TSGR1_102\Docs\R1-2005715.zip" TargetMode="External"/><Relationship Id="rId25" Type="http://schemas.openxmlformats.org/officeDocument/2006/relationships/hyperlink" Target="file:///C:\Users\wanshic\OneDrive%20-%20Qualcomm\Documents\Standards\3GPP%20Standards\Meeting%20Documents\TSGR1_102\Docs\R1-2006153.zip" TargetMode="External"/><Relationship Id="rId33" Type="http://schemas.openxmlformats.org/officeDocument/2006/relationships/hyperlink" Target="file:///C:\Users\wanshic\OneDrive%20-%20Qualcomm\Documents\Standards\3GPP%20Standards\Meeting%20Documents\TSGR1_102\Docs\R1-2006812.zi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638.zip" TargetMode="External"/><Relationship Id="rId20" Type="http://schemas.openxmlformats.org/officeDocument/2006/relationships/hyperlink" Target="file:///C:\Users\wanshic\OneDrive%20-%20Qualcomm\Documents\Standards\3GPP%20Standards\Meeting%20Documents\TSGR1_102\Docs\R1-2005779.zip" TargetMode="External"/><Relationship Id="rId29" Type="http://schemas.openxmlformats.org/officeDocument/2006/relationships/hyperlink" Target="file:///C:\Users\wanshic\OneDrive%20-%20Qualcomm\Documents\Standards\3GPP%20Standards\Meeting%20Documents\TSGR1_102\Docs\R1-200652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270.zip" TargetMode="External"/><Relationship Id="rId24" Type="http://schemas.openxmlformats.org/officeDocument/2006/relationships/hyperlink" Target="file:///C:\Users\wanshic\OneDrive%20-%20Qualcomm\Documents\Standards\3GPP%20Standards\Meeting%20Documents\TSGR1_102\Docs\R1-2006037.zip" TargetMode="External"/><Relationship Id="rId32" Type="http://schemas.openxmlformats.org/officeDocument/2006/relationships/hyperlink" Target="file:///C:\Users\wanshic\OneDrive%20-%20Qualcomm\Documents\Standards\3GPP%20Standards\Meeting%20Documents\TSGR1_102\Docs\R1-2006734.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591.zip" TargetMode="External"/><Relationship Id="rId23" Type="http://schemas.openxmlformats.org/officeDocument/2006/relationships/hyperlink" Target="file:///C:\Users\wanshic\OneDrive%20-%20Qualcomm\Documents\Standards\3GPP%20Standards\Meeting%20Documents\TSGR1_102\Docs\R1-2005969.zip" TargetMode="External"/><Relationship Id="rId28" Type="http://schemas.openxmlformats.org/officeDocument/2006/relationships/hyperlink" Target="file:///C:\Users\wanshic\OneDrive%20-%20Qualcomm\Documents\Standards\3GPP%20Standards\Meeting%20Documents\TSGR1_102\Docs\R1-2006307.zip" TargetMode="External"/><Relationship Id="rId36" Type="http://schemas.openxmlformats.org/officeDocument/2006/relationships/hyperlink" Target="file:///C:\Users\wanshic\OneDrive%20-%20Qualcomm\Documents\Standards\3GPP%20Standards\Meeting%20Documents\TSGR1_102\Docs\R1-2006947.zip" TargetMode="External"/><Relationship Id="rId10" Type="http://schemas.openxmlformats.org/officeDocument/2006/relationships/hyperlink" Target="file:///C:\Users\wanshic\OneDrive%20-%20Qualcomm\Documents\Standards\3GPP%20Standards\Meeting%20Documents\TSGR1_102\Docs\R1-2005235.zip" TargetMode="External"/><Relationship Id="rId19" Type="http://schemas.openxmlformats.org/officeDocument/2006/relationships/hyperlink" Target="file:///C:\Users\wanshic\OneDrive%20-%20Qualcomm\Documents\Standards\3GPP%20Standards\Meeting%20Documents\TSGR1_102\Docs\R1-2005778.zip" TargetMode="External"/><Relationship Id="rId31" Type="http://schemas.openxmlformats.org/officeDocument/2006/relationships/hyperlink" Target="file:///C:\Users\wanshic\OneDrive%20-%20Qualcomm\Documents\Standards\3GPP%20Standards\Meeting%20Documents\TSGR1_102\Docs\R1-2006683.zip" TargetMode="External"/><Relationship Id="rId4" Type="http://schemas.microsoft.com/office/2007/relationships/stylesWithEffects" Target="stylesWithEffects.xml"/><Relationship Id="rId9" Type="http://schemas.openxmlformats.org/officeDocument/2006/relationships/hyperlink" Target="https://www.3gpp.org/DynaReport/WiCr--860035.htm" TargetMode="External"/><Relationship Id="rId14" Type="http://schemas.openxmlformats.org/officeDocument/2006/relationships/hyperlink" Target="file:///C:\Users\wanshic\OneDrive%20-%20Qualcomm\Documents\Standards\3GPP%20Standards\Meeting%20Documents\TSGR1_102\Docs\R1-2005526.zip" TargetMode="External"/><Relationship Id="rId22" Type="http://schemas.openxmlformats.org/officeDocument/2006/relationships/hyperlink" Target="file:///C:\Users\wanshic\OneDrive%20-%20Qualcomm\Documents\Standards\3GPP%20Standards\Meeting%20Documents\TSGR1_102\Docs\R1-2005933.zip" TargetMode="External"/><Relationship Id="rId27" Type="http://schemas.openxmlformats.org/officeDocument/2006/relationships/hyperlink" Target="file:///C:\Users\wanshic\OneDrive%20-%20Qualcomm\Documents\Standards\3GPP%20Standards\Meeting%20Documents\TSGR1_102\Docs\R1-2006286.zip" TargetMode="External"/><Relationship Id="rId30" Type="http://schemas.openxmlformats.org/officeDocument/2006/relationships/hyperlink" Target="file:///C:\Users\wanshic\OneDrive%20-%20Qualcomm\Documents\Standards\3GPP%20Standards\Meeting%20Documents\TSGR1_102\Docs\R1-2006539.zip" TargetMode="External"/><Relationship Id="rId35" Type="http://schemas.openxmlformats.org/officeDocument/2006/relationships/hyperlink" Target="file:///C:\Users\wanshic\OneDrive%20-%20Qualcomm\Documents\Standards\3GPP%20Standards\Meeting%20Documents\TSGR1_102\Docs\R1-20068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67D0-7F32-4C0F-9B93-3A258106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6384</Words>
  <Characters>36390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wanglei</cp:lastModifiedBy>
  <cp:revision>2</cp:revision>
  <cp:lastPrinted>2019-01-22T03:27:00Z</cp:lastPrinted>
  <dcterms:created xsi:type="dcterms:W3CDTF">2020-08-19T01:16:00Z</dcterms:created>
  <dcterms:modified xsi:type="dcterms:W3CDTF">2020-08-19T01:16:00Z</dcterms:modified>
</cp:coreProperties>
</file>