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7343F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7C2B6F">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DengXian"/>
                <w:lang w:eastAsia="zh-CN"/>
              </w:rPr>
            </w:pPr>
            <w:r>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DengXian"/>
                <w:lang w:eastAsia="zh-CN"/>
              </w:rPr>
            </w:pPr>
            <w:r>
              <w:rPr>
                <w:rFonts w:eastAsia="DengXian"/>
                <w:lang w:eastAsia="zh-CN"/>
              </w:rPr>
              <w:t>We are fine with</w:t>
            </w:r>
            <w:r w:rsidR="0067614F">
              <w:rPr>
                <w:rFonts w:eastAsia="DengXian"/>
                <w:lang w:eastAsia="zh-CN"/>
              </w:rPr>
              <w:t xml:space="preserve"> this proposal.</w:t>
            </w:r>
          </w:p>
        </w:tc>
      </w:tr>
      <w:tr w:rsidR="007C2B6F" w14:paraId="457A55A9" w14:textId="77777777" w:rsidTr="007C2B6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DengXian"/>
                <w:lang w:eastAsia="zh-CN"/>
              </w:rPr>
            </w:pPr>
            <w:r>
              <w:rPr>
                <w:rFonts w:eastAsia="DengXian"/>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DengXian"/>
                <w:lang w:eastAsia="zh-CN"/>
              </w:rPr>
            </w:pPr>
            <w:r>
              <w:rPr>
                <w:rFonts w:eastAsia="DengXian"/>
                <w:lang w:eastAsia="zh-CN"/>
              </w:rPr>
              <w:t>Concerned as it would be misleading without additional information</w:t>
            </w:r>
            <w:r w:rsidR="002E2C78">
              <w:rPr>
                <w:rFonts w:eastAsia="DengXian"/>
                <w:lang w:eastAsia="zh-CN"/>
              </w:rPr>
              <w:t xml:space="preserve"> we previously added</w:t>
            </w:r>
            <w:r>
              <w:rPr>
                <w:rFonts w:eastAsia="DengXian"/>
                <w:lang w:eastAsia="zh-CN"/>
              </w:rPr>
              <w:t>.</w:t>
            </w:r>
            <w:r w:rsidR="002E2C78">
              <w:rPr>
                <w:rFonts w:eastAsia="DengXian"/>
                <w:lang w:eastAsia="zh-CN"/>
              </w:rPr>
              <w:t xml:space="preserve"> We believe it is worthwhile a try to add what we added for companies to check.</w:t>
            </w:r>
          </w:p>
        </w:tc>
      </w:tr>
    </w:tbl>
    <w:p w14:paraId="3DCFBE7C" w14:textId="77777777" w:rsidR="00923EE5" w:rsidRPr="007C2B6F"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lastRenderedPageBreak/>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lastRenderedPageBreak/>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lastRenderedPageBreak/>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lastRenderedPageBreak/>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lastRenderedPageBreak/>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 xml:space="preserve">We understand that capturing P1-&gt;P11 would still leave the door open to capturing other impacts. Use of a single antenna will impact polarisation diversity when receiving SSB. This will lead to </w:t>
            </w:r>
            <w:r>
              <w:lastRenderedPageBreak/>
              <w:t>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lastRenderedPageBreak/>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 xml:space="preserve">P1: There will be negative impact on DL data rate/throughput when reducing the number of Rx antennas. The main reason is that reducing the number of Rx </w:t>
            </w:r>
            <w:r>
              <w:rPr>
                <w:color w:val="C00000"/>
                <w:sz w:val="20"/>
                <w:szCs w:val="20"/>
                <w:lang w:val="en-US"/>
              </w:rPr>
              <w:lastRenderedPageBreak/>
              <w:t>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lastRenderedPageBreak/>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lastRenderedPageBreak/>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7C2B6F">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DengXian"/>
                <w:szCs w:val="22"/>
                <w:lang w:eastAsia="zh-CN"/>
              </w:rPr>
            </w:pPr>
            <w:r>
              <w:rPr>
                <w:rFonts w:eastAsia="DengXian"/>
                <w:szCs w:val="22"/>
                <w:lang w:eastAsia="zh-CN"/>
              </w:rPr>
              <w:t>We agree with P7/P8 and P12 in principle.</w:t>
            </w:r>
          </w:p>
          <w:p w14:paraId="14D328F9" w14:textId="060CCACC" w:rsidR="00CA1795" w:rsidRDefault="00C12CE4" w:rsidP="00CA1795">
            <w:pPr>
              <w:rPr>
                <w:rFonts w:eastAsia="DengXian"/>
                <w:lang w:eastAsia="zh-CN"/>
              </w:rPr>
            </w:pPr>
            <w:r>
              <w:rPr>
                <w:rFonts w:eastAsia="DengXian"/>
                <w:lang w:eastAsia="zh-CN"/>
              </w:rPr>
              <w:t>Given P7/P8</w:t>
            </w:r>
            <w:r w:rsidR="00CA1795">
              <w:rPr>
                <w:rFonts w:eastAsia="DengXian"/>
                <w:lang w:eastAsia="zh-CN"/>
              </w:rPr>
              <w:t>, P1 is redundant and there is no need to discuss it further.</w:t>
            </w:r>
          </w:p>
          <w:p w14:paraId="2EE589F8" w14:textId="03D781F9" w:rsidR="00CA1795" w:rsidRDefault="00CA1795" w:rsidP="00CA1795">
            <w:pPr>
              <w:rPr>
                <w:rFonts w:eastAsia="DengXian"/>
                <w:lang w:eastAsia="zh-CN"/>
              </w:rPr>
            </w:pPr>
            <w:r>
              <w:rPr>
                <w:rFonts w:eastAsia="DengXian"/>
                <w:lang w:eastAsia="zh-CN"/>
              </w:rPr>
              <w:t>We need more evaluations before concluding on P10.</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w:t>
            </w:r>
            <w:r>
              <w:rPr>
                <w:color w:val="C00000"/>
                <w:sz w:val="20"/>
                <w:szCs w:val="20"/>
                <w:lang w:val="en-US"/>
              </w:rPr>
              <w:lastRenderedPageBreak/>
              <w:t>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However we think these are “limitations on configuration” issues, not coexistence issues. Adopting a 10kHz SCS for Redcap would be a </w:t>
            </w:r>
            <w:r>
              <w:rPr>
                <w:rFonts w:eastAsia="DengXian"/>
                <w:lang w:eastAsia="zh-CN"/>
              </w:rPr>
              <w:lastRenderedPageBreak/>
              <w:t>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t>
            </w:r>
            <w:r>
              <w:rPr>
                <w:rFonts w:eastAsia="DengXian"/>
                <w:lang w:eastAsia="zh-CN"/>
              </w:rPr>
              <w:lastRenderedPageBreak/>
              <w:t xml:space="preserve">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lastRenderedPageBreak/>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comment from Huawei / HiSi,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lastRenderedPageBreak/>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DengXian"/>
                <w:lang w:eastAsia="zh-CN"/>
              </w:rPr>
            </w:pPr>
            <w:r w:rsidRPr="005676C7">
              <w:rPr>
                <w:rFonts w:eastAsia="DengXian"/>
                <w:lang w:eastAsia="zh-CN"/>
              </w:rPr>
              <w:t xml:space="preserve">We support v3 and agree with FUTUREWEI’s view. Given the </w:t>
            </w:r>
            <w:r>
              <w:rPr>
                <w:rFonts w:eastAsia="DengXian"/>
                <w:lang w:eastAsia="zh-CN"/>
              </w:rPr>
              <w:t xml:space="preserve">limited time of this SI </w:t>
            </w:r>
            <w:r w:rsidRPr="005676C7">
              <w:rPr>
                <w:rFonts w:eastAsia="DengXian"/>
                <w:lang w:eastAsia="zh-CN"/>
              </w:rPr>
              <w:t xml:space="preserve">and the </w:t>
            </w:r>
            <w:r>
              <w:rPr>
                <w:rFonts w:eastAsia="DengXian"/>
                <w:lang w:eastAsia="zh-CN"/>
              </w:rPr>
              <w:t xml:space="preserve">spec impacts </w:t>
            </w:r>
            <w:r w:rsidRPr="005676C7">
              <w:rPr>
                <w:rFonts w:eastAsia="DengXian"/>
                <w:lang w:eastAsia="zh-CN"/>
              </w:rPr>
              <w:t xml:space="preserve">of 50 MHz, we don’t see the need to study 50 MHz </w:t>
            </w:r>
            <w:r w:rsidR="007E3C9D">
              <w:rPr>
                <w:rFonts w:eastAsia="DengXian"/>
                <w:lang w:eastAsia="zh-CN"/>
              </w:rPr>
              <w:t xml:space="preserve">any </w:t>
            </w:r>
            <w:r>
              <w:rPr>
                <w:rFonts w:eastAsia="DengXian"/>
                <w:lang w:eastAsia="zh-CN"/>
              </w:rPr>
              <w:t>further.</w:t>
            </w: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lastRenderedPageBreak/>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xml:space="preserve">. If the UE is “on” for longer due </w:t>
            </w:r>
            <w:r w:rsidR="001F31F3">
              <w:rPr>
                <w:rFonts w:eastAsia="Yu Mincho"/>
                <w:lang w:eastAsia="ja-JP"/>
              </w:rPr>
              <w:lastRenderedPageBreak/>
              <w:t>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6" o:title=""/>
                </v:shape>
                <o:OLEObject Type="Embed" ProgID="Visio.Drawing.15" ShapeID="_x0000_i1025" DrawAspect="Content" ObjectID="_1660035196"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7C2B6F">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DengXian"/>
                <w:lang w:eastAsia="zh-CN"/>
              </w:rPr>
            </w:pPr>
            <w:r w:rsidRPr="00734980">
              <w:rPr>
                <w:rFonts w:eastAsia="DengXian"/>
                <w:lang w:eastAsia="zh-CN"/>
              </w:rPr>
              <w:t>We are fine with P1, P6, P9, P10 and P11, given UE BW is reduced to 20 MHz in FR1.</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lastRenderedPageBreak/>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lastRenderedPageBreak/>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1EAA0456" w:rsidR="00E50167" w:rsidRPr="00C66298"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SimSun"/>
                <w:lang w:eastAsia="zh-CN"/>
              </w:rPr>
            </w:pPr>
            <w:r>
              <w:rPr>
                <w:rFonts w:eastAsia="SimSun"/>
                <w:lang w:eastAsia="zh-CN"/>
              </w:rPr>
              <w:t>We are fine with the proposal</w:t>
            </w:r>
            <w:r w:rsidR="005B2CD4">
              <w:rPr>
                <w:rFonts w:eastAsia="SimSun"/>
                <w:lang w:eastAsia="zh-CN"/>
              </w:rPr>
              <w:t xml:space="preserve"> except for P20. </w:t>
            </w:r>
            <w:r w:rsidR="005B2CD4" w:rsidRPr="005B2CD4">
              <w:rPr>
                <w:rFonts w:eastAsia="SimSun"/>
                <w:lang w:eastAsia="zh-CN"/>
              </w:rPr>
              <w:t xml:space="preserve">It does not mention when the UE is able to support AL8 or 16, it may have performance degradation depending on the SCS.  </w:t>
            </w:r>
            <w:r w:rsidR="005B2CD4">
              <w:rPr>
                <w:rFonts w:eastAsia="SimSun"/>
                <w:lang w:eastAsia="zh-CN"/>
              </w:rPr>
              <w:t>The current wording</w:t>
            </w:r>
            <w:r w:rsidR="005B2CD4" w:rsidRPr="005B2CD4">
              <w:rPr>
                <w:rFonts w:eastAsia="SimSun"/>
                <w:lang w:eastAsia="zh-CN"/>
              </w:rPr>
              <w:t xml:space="preserve"> may </w:t>
            </w:r>
            <w:r w:rsidR="005B2CD4">
              <w:rPr>
                <w:rFonts w:eastAsia="SimSun"/>
                <w:lang w:eastAsia="zh-CN"/>
              </w:rPr>
              <w:t>result into</w:t>
            </w:r>
            <w:r w:rsidR="005B2CD4" w:rsidRPr="005B2CD4">
              <w:rPr>
                <w:rFonts w:eastAsia="SimSun"/>
                <w:lang w:eastAsia="zh-CN"/>
              </w:rPr>
              <w:t xml:space="preserve"> a </w:t>
            </w:r>
            <w:r w:rsidR="005B2CD4">
              <w:rPr>
                <w:rFonts w:eastAsia="SimSun"/>
                <w:lang w:eastAsia="zh-CN"/>
              </w:rPr>
              <w:t xml:space="preserve">misleading </w:t>
            </w:r>
            <w:r w:rsidR="005B2CD4" w:rsidRPr="005B2CD4">
              <w:rPr>
                <w:rFonts w:eastAsia="SimSun"/>
                <w:lang w:eastAsia="zh-CN"/>
              </w:rPr>
              <w:t>conclusion.</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lastRenderedPageBreak/>
        <w:t>7.3.4</w:t>
      </w:r>
      <w:r>
        <w:tab/>
        <w:t>Analysis of coexistence with legacy U</w:t>
      </w:r>
      <w:r w:rsidR="00C94B74">
        <w:t>e</w:t>
      </w:r>
      <w:r>
        <w:t>s</w:t>
      </w:r>
      <w:bookmarkEnd w:id="16"/>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lastRenderedPageBreak/>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Disagree with Sony, this is an issue when both redcap and legacy U</w:t>
            </w:r>
            <w:r w:rsidR="00D84036">
              <w:rPr>
                <w:rFonts w:eastAsia="DengXian"/>
                <w:lang w:eastAsia="zh-CN"/>
              </w:rPr>
              <w:t>e</w:t>
            </w:r>
            <w:r>
              <w:rPr>
                <w:rFonts w:eastAsia="DengXian"/>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-v3</w:t>
            </w:r>
            <w:r w:rsidRPr="002C788B">
              <w:rPr>
                <w:rFonts w:eastAsia="DengXian"/>
                <w:color w:val="C00000"/>
                <w:lang w:eastAsia="zh-CN"/>
              </w:rPr>
              <w:t>:</w:t>
            </w:r>
          </w:p>
          <w:p w14:paraId="151CB32C" w14:textId="77777777" w:rsidR="0035443C" w:rsidRPr="002C788B" w:rsidRDefault="0035443C" w:rsidP="0035443C">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13EEA02D" w:rsidR="00E50167" w:rsidRPr="0035443C" w:rsidRDefault="0035443C" w:rsidP="007C2B6F">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DengXian"/>
                <w:lang w:eastAsia="zh-CN"/>
              </w:rPr>
            </w:pPr>
            <w:r>
              <w:rPr>
                <w:rFonts w:eastAsia="DengXian"/>
                <w:lang w:eastAsia="zh-CN"/>
              </w:rPr>
              <w:t>We are fine</w:t>
            </w:r>
            <w:r w:rsidR="00DF07A2">
              <w:rPr>
                <w:rFonts w:eastAsia="DengXian"/>
                <w:lang w:eastAsia="zh-CN"/>
              </w:rPr>
              <w:t xml:space="preserve"> to include C7. For the FFS part, we think the delay and UE complexity needs to be considered. Therefore, we would like to suggest the following changes:</w:t>
            </w:r>
            <w:bookmarkStart w:id="17" w:name="_GoBack"/>
            <w:bookmarkEnd w:id="17"/>
          </w:p>
          <w:p w14:paraId="434C130B" w14:textId="263CF0EB" w:rsidR="00DF07A2" w:rsidRDefault="00DF07A2" w:rsidP="007C2B6F">
            <w:pPr>
              <w:rPr>
                <w:rFonts w:eastAsia="DengXian"/>
                <w:lang w:eastAsia="zh-CN"/>
              </w:rPr>
            </w:pPr>
            <w:r w:rsidRPr="003553CA">
              <w:rPr>
                <w:rFonts w:eastAsia="DengXian"/>
                <w:i/>
                <w:iCs/>
                <w:lang w:eastAsia="zh-CN"/>
              </w:rPr>
              <w:t>However, with UE implementation-based solutions, all SSB/CORESET#0 configurations and Type0-PDCCH monitoring options can be preserved</w:t>
            </w:r>
            <w:r>
              <w:rPr>
                <w:rFonts w:eastAsia="DengXian"/>
                <w:i/>
                <w:iCs/>
                <w:lang w:eastAsia="zh-CN"/>
              </w:rPr>
              <w:t xml:space="preserve">. </w:t>
            </w:r>
            <w:r w:rsidRPr="00DF07A2">
              <w:rPr>
                <w:rFonts w:eastAsia="DengXian"/>
                <w:i/>
                <w:iCs/>
                <w:color w:val="FF0000"/>
                <w:u w:val="single"/>
                <w:lang w:eastAsia="zh-CN"/>
              </w:rPr>
              <w:t>Initial access delays and possibly increased UE complexity/power may be expected</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lastRenderedPageBreak/>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8" w:name="_Toc42165608"/>
      <w:r>
        <w:t>7.4</w:t>
      </w:r>
      <w:r>
        <w:tab/>
        <w:t>Half-duplex FDD operation</w:t>
      </w:r>
      <w:bookmarkEnd w:id="18"/>
    </w:p>
    <w:p w14:paraId="077ADEFF" w14:textId="7083D6EF" w:rsidR="0076672F" w:rsidRDefault="0076672F" w:rsidP="0076672F">
      <w:pPr>
        <w:pStyle w:val="Heading3"/>
      </w:pPr>
      <w:bookmarkStart w:id="19" w:name="_Toc42165611"/>
      <w:r>
        <w:t>7.4.3</w:t>
      </w:r>
      <w:r>
        <w:tab/>
        <w:t>Analysis of performance impacts</w:t>
      </w:r>
      <w:bookmarkEnd w:id="19"/>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lastRenderedPageBreak/>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lastRenderedPageBreak/>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20" w:name="_Toc359933395"/>
            <w:r w:rsidRPr="004948DE">
              <w:t>6.</w:t>
            </w:r>
            <w:r>
              <w:t>6</w:t>
            </w:r>
            <w:r w:rsidRPr="004948DE">
              <w:t>.2.1</w:t>
            </w:r>
            <w:r w:rsidRPr="004948DE">
              <w:tab/>
              <w:t>Coverage analysis</w:t>
            </w:r>
            <w:bookmarkEnd w:id="20"/>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1" w:name="_Toc359933396"/>
            <w:r w:rsidRPr="004948DE">
              <w:t>6.</w:t>
            </w:r>
            <w:r>
              <w:t>6</w:t>
            </w:r>
            <w:r w:rsidRPr="004948DE">
              <w:t>.2.2</w:t>
            </w:r>
            <w:r w:rsidRPr="004948DE">
              <w:tab/>
              <w:t>Power consumption</w:t>
            </w:r>
            <w:bookmarkEnd w:id="21"/>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69E55570"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SimSun"/>
                <w:lang w:eastAsia="zh-CN"/>
              </w:rPr>
            </w:pPr>
            <w:r>
              <w:rPr>
                <w:rFonts w:eastAsia="SimSun"/>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SimSun"/>
                <w:lang w:eastAsia="zh-CN"/>
              </w:rPr>
            </w:pPr>
            <w:r>
              <w:rPr>
                <w:rFonts w:eastAsia="SimSun"/>
                <w:lang w:eastAsia="zh-CN"/>
              </w:rPr>
              <w:t xml:space="preserve">Still not comfortable with P1/P2/P3. </w:t>
            </w:r>
            <w:r w:rsidR="002E2C78">
              <w:rPr>
                <w:rFonts w:eastAsia="SimSun"/>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bl>
    <w:p w14:paraId="3D39F03C" w14:textId="77777777" w:rsidR="00817D93" w:rsidRPr="007C2B6F" w:rsidRDefault="00817D93" w:rsidP="00DF7EB6"/>
    <w:p w14:paraId="0FC983AD" w14:textId="3A22F433" w:rsidR="0076672F" w:rsidRDefault="0076672F" w:rsidP="0076672F">
      <w:pPr>
        <w:pStyle w:val="Heading3"/>
      </w:pPr>
      <w:bookmarkStart w:id="22" w:name="_Toc42165612"/>
      <w:r>
        <w:t>7.4.4</w:t>
      </w:r>
      <w:r>
        <w:tab/>
        <w:t>Analysis of coexistence with legacy U</w:t>
      </w:r>
      <w:r w:rsidR="009F3623">
        <w:t>e</w:t>
      </w:r>
      <w:r>
        <w:t>s</w:t>
      </w:r>
      <w:bookmarkEnd w:id="22"/>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3" w:name="_Toc42165614"/>
      <w:r>
        <w:t>7.5</w:t>
      </w:r>
      <w:r>
        <w:tab/>
        <w:t>Relaxed UE processing time</w:t>
      </w:r>
      <w:bookmarkEnd w:id="23"/>
    </w:p>
    <w:p w14:paraId="5F324962" w14:textId="08D4C3A9" w:rsidR="0076672F" w:rsidRDefault="0076672F" w:rsidP="0076672F">
      <w:pPr>
        <w:pStyle w:val="Heading3"/>
      </w:pPr>
      <w:bookmarkStart w:id="24" w:name="_Toc42165617"/>
      <w:r>
        <w:t>7.5.3</w:t>
      </w:r>
      <w:r>
        <w:tab/>
        <w:t>Analysis of performance impacts</w:t>
      </w:r>
      <w:bookmarkEnd w:id="2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lastRenderedPageBreak/>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P10 should also be studied before conclude.</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lastRenderedPageBreak/>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038B5D09" w14:textId="77777777" w:rsidR="00DA7BE8" w:rsidRPr="00723B75" w:rsidRDefault="00DA7BE8" w:rsidP="00DA7BE8">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7C2B6F">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DengXian"/>
                <w:lang w:eastAsia="zh-CN"/>
              </w:rPr>
            </w:pPr>
            <w:r>
              <w:rPr>
                <w:rFonts w:eastAsia="DengXian"/>
                <w:lang w:eastAsia="zh-CN"/>
              </w:rPr>
              <w:t>We are fine with this proposal.</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lastRenderedPageBreak/>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5" w:name="_Toc42165618"/>
      <w:r>
        <w:t>7.5.4</w:t>
      </w:r>
      <w:r>
        <w:tab/>
        <w:t>Analysis of coexistence with legacy U</w:t>
      </w:r>
      <w:r w:rsidR="009F3623">
        <w:t>e</w:t>
      </w:r>
      <w:r>
        <w:t>s</w:t>
      </w:r>
      <w:bookmarkEnd w:id="2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more clear,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lastRenderedPageBreak/>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2882387E" w:rsidR="00E50167" w:rsidRPr="001E1D08" w:rsidRDefault="001E1D08" w:rsidP="007C2B6F">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DengXian"/>
                <w:lang w:eastAsia="zh-CN"/>
              </w:rPr>
            </w:pPr>
            <w:r>
              <w:rPr>
                <w:rFonts w:eastAsia="DengXian"/>
                <w:lang w:eastAsia="zh-CN"/>
              </w:rPr>
              <w:t>We are fine with this proposal.</w:t>
            </w:r>
          </w:p>
        </w:tc>
      </w:tr>
    </w:tbl>
    <w:p w14:paraId="20E11560" w14:textId="7156E961"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22FAD">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22FAD">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22FAD">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22FAD">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22FAD">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22FAD">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422FAD">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22FAD">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422FAD">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422FAD">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22FAD">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22FAD">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22FAD">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22FAD">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22FAD">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22FAD">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422FAD">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22FAD">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422FAD">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22FAD">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22FAD">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22FAD">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22FAD">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22FAD">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lastRenderedPageBreak/>
              <w:t>[25]</w:t>
            </w:r>
          </w:p>
        </w:tc>
        <w:tc>
          <w:tcPr>
            <w:tcW w:w="1456" w:type="dxa"/>
            <w:tcMar>
              <w:top w:w="0" w:type="dxa"/>
              <w:left w:w="70" w:type="dxa"/>
              <w:bottom w:w="0" w:type="dxa"/>
              <w:right w:w="70" w:type="dxa"/>
            </w:tcMar>
            <w:hideMark/>
          </w:tcPr>
          <w:p w14:paraId="3BAC8EF7" w14:textId="77777777" w:rsidR="00F66882" w:rsidRPr="008415B9" w:rsidRDefault="00422FAD">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22FAD">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22FAD">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422FAD">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422FAD">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22FAD">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22FAD">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22FAD">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22FAD">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22FAD">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22FAD">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38F7" w14:textId="77777777" w:rsidR="00BC03BA" w:rsidRDefault="00BC03BA" w:rsidP="00581A60">
      <w:pPr>
        <w:spacing w:after="0"/>
      </w:pPr>
      <w:r>
        <w:separator/>
      </w:r>
    </w:p>
  </w:endnote>
  <w:endnote w:type="continuationSeparator" w:id="0">
    <w:p w14:paraId="52674266" w14:textId="77777777" w:rsidR="00BC03BA" w:rsidRDefault="00BC03BA" w:rsidP="00581A60">
      <w:pPr>
        <w:spacing w:after="0"/>
      </w:pPr>
      <w:r>
        <w:continuationSeparator/>
      </w:r>
    </w:p>
  </w:endnote>
  <w:endnote w:type="continuationNotice" w:id="1">
    <w:p w14:paraId="4CEA3E41" w14:textId="77777777" w:rsidR="00BC03BA" w:rsidRDefault="00BC03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7A15" w14:textId="77777777" w:rsidR="00BC03BA" w:rsidRDefault="00BC03BA" w:rsidP="00581A60">
      <w:pPr>
        <w:spacing w:after="0"/>
      </w:pPr>
      <w:r>
        <w:separator/>
      </w:r>
    </w:p>
  </w:footnote>
  <w:footnote w:type="continuationSeparator" w:id="0">
    <w:p w14:paraId="10D5371C" w14:textId="77777777" w:rsidR="00BC03BA" w:rsidRDefault="00BC03BA" w:rsidP="00581A60">
      <w:pPr>
        <w:spacing w:after="0"/>
      </w:pPr>
      <w:r>
        <w:continuationSeparator/>
      </w:r>
    </w:p>
  </w:footnote>
  <w:footnote w:type="continuationNotice" w:id="1">
    <w:p w14:paraId="1BF6B5BB" w14:textId="77777777" w:rsidR="00BC03BA" w:rsidRDefault="00BC03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C78"/>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286"/>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510"/>
    <w:rsid w:val="00D966F5"/>
    <w:rsid w:val="00D979CE"/>
    <w:rsid w:val="00DA09B5"/>
    <w:rsid w:val="00DA360A"/>
    <w:rsid w:val="00DA502C"/>
    <w:rsid w:val="00DA50EB"/>
    <w:rsid w:val="00DA5F95"/>
    <w:rsid w:val="00DA7BE8"/>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9BDB8-F083-4E37-B984-FE85A191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24613</Words>
  <Characters>140295</Characters>
  <Application>Microsoft Office Word</Application>
  <DocSecurity>0</DocSecurity>
  <Lines>1169</Lines>
  <Paragraphs>329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2020-08-27T18:26:00Z</dcterms:created>
  <dcterms:modified xsi:type="dcterms:W3CDTF">2020-08-27T19:06:00Z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