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3"/>
        <w:rPr>
          <w:lang w:eastAsia="ko-KR"/>
        </w:rPr>
      </w:pPr>
      <w:bookmarkStart w:id="2" w:name="_Ref481671177"/>
    </w:p>
    <w:p w14:paraId="32AE3603" w14:textId="7A86107A" w:rsidR="004A335C" w:rsidRPr="004A335C" w:rsidRDefault="00A80AA6" w:rsidP="00A80AA6">
      <w:pPr>
        <w:pStyle w:val="1"/>
        <w:rPr>
          <w:lang w:eastAsia="ko-KR"/>
        </w:rPr>
      </w:pPr>
      <w:r>
        <w:rPr>
          <w:lang w:eastAsia="ko-KR"/>
        </w:rPr>
        <w:t>Random Access</w:t>
      </w: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3"/>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3"/>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af3"/>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af3"/>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3"/>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3"/>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af3"/>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F473C9">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F473C9">
        <w:tc>
          <w:tcPr>
            <w:tcW w:w="2335" w:type="dxa"/>
            <w:tcBorders>
              <w:top w:val="single" w:sz="4" w:space="0" w:color="auto"/>
              <w:left w:val="single" w:sz="4" w:space="0" w:color="auto"/>
              <w:bottom w:val="single" w:sz="4" w:space="0" w:color="auto"/>
              <w:right w:val="single" w:sz="4" w:space="0" w:color="auto"/>
            </w:tcBorders>
            <w:vAlign w:val="center"/>
          </w:tcPr>
          <w:p w14:paraId="33538983" w14:textId="3A2F3F37" w:rsidR="00455192" w:rsidRPr="007D7763" w:rsidRDefault="00F473C9"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597FC9D0" w:rsidR="00455192" w:rsidRDefault="00F473C9" w:rsidP="008E4554">
            <w:pPr>
              <w:autoSpaceDE w:val="0"/>
              <w:autoSpaceDN w:val="0"/>
              <w:adjustRightInd w:val="0"/>
              <w:snapToGrid w:val="0"/>
              <w:rPr>
                <w:rFonts w:eastAsiaTheme="minorEastAsia"/>
                <w:lang w:eastAsia="zh-CN"/>
              </w:rPr>
            </w:pPr>
            <w:r>
              <w:rPr>
                <w:rFonts w:eastAsiaTheme="minorEastAsia"/>
                <w:lang w:eastAsia="zh-CN"/>
              </w:rPr>
              <w:t>For HAPS based services, communication is possible with indoor UEs. In such cases UEs may not be able to use GNSS due to satellite blockage.</w:t>
            </w:r>
          </w:p>
        </w:tc>
      </w:tr>
      <w:tr w:rsidR="004A035D" w14:paraId="204D4C2E" w14:textId="77777777" w:rsidTr="00EE03F5">
        <w:tc>
          <w:tcPr>
            <w:tcW w:w="2335" w:type="dxa"/>
            <w:tcBorders>
              <w:top w:val="single" w:sz="4" w:space="0" w:color="auto"/>
              <w:left w:val="single" w:sz="4" w:space="0" w:color="auto"/>
              <w:bottom w:val="single" w:sz="4" w:space="0" w:color="auto"/>
              <w:right w:val="single" w:sz="4" w:space="0" w:color="auto"/>
            </w:tcBorders>
          </w:tcPr>
          <w:p w14:paraId="4FBE1813" w14:textId="76A1B549" w:rsidR="004A035D" w:rsidRDefault="004A035D" w:rsidP="004A035D">
            <w:pPr>
              <w:autoSpaceDE w:val="0"/>
              <w:autoSpaceDN w:val="0"/>
              <w:adjustRightInd w:val="0"/>
              <w:snapToGrid w:val="0"/>
              <w:jc w:val="center"/>
              <w:rPr>
                <w:rFonts w:eastAsiaTheme="minorEastAsia" w:cs="Arial"/>
                <w:lang w:val="en-US" w:eastAsia="zh-CN"/>
              </w:rP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4AAE6B0A" w14:textId="34B4AE93"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2-1.</w:t>
            </w:r>
          </w:p>
        </w:tc>
      </w:tr>
    </w:tbl>
    <w:p w14:paraId="5BCC0688" w14:textId="77777777" w:rsidR="0002145F" w:rsidRPr="00FE08DF" w:rsidRDefault="0002145F"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lastRenderedPageBreak/>
        <w:t>Feeder Link Switching</w:t>
      </w: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 xml:space="preserve">ransparent LEO, Architecture Option 1, different </w:t>
      </w:r>
      <w:proofErr w:type="spellStart"/>
      <w:r w:rsidRPr="00F838C8">
        <w:rPr>
          <w:rFonts w:eastAsia="宋体"/>
        </w:rPr>
        <w:t>gNBs</w:t>
      </w:r>
      <w:proofErr w:type="spellEnd"/>
      <w:r>
        <w:rPr>
          <w:rFonts w:eastAsia="宋体"/>
        </w:rPr>
        <w:t>”</w:t>
      </w:r>
      <w:r w:rsidRPr="00F838C8">
        <w:rPr>
          <w:rFonts w:eastAsia="宋体"/>
        </w:rPr>
        <w:t xml:space="preserve"> [3, section 8.7.1.1.1]:</w:t>
      </w:r>
    </w:p>
    <w:p w14:paraId="33CE0CDB" w14:textId="394A8533" w:rsidR="001F023B" w:rsidRPr="00F838C8" w:rsidRDefault="001F023B" w:rsidP="00810AF8">
      <w:pPr>
        <w:pStyle w:val="afa"/>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02CFFBCA" w14:textId="3E022EE4" w:rsidR="001F023B" w:rsidRPr="00EF0B1A" w:rsidRDefault="001F023B" w:rsidP="00810AF8">
      <w:pPr>
        <w:pStyle w:val="afa"/>
        <w:numPr>
          <w:ilvl w:val="0"/>
          <w:numId w:val="7"/>
        </w:numPr>
        <w:rPr>
          <w:rFonts w:eastAsia="宋体"/>
        </w:rPr>
      </w:pPr>
      <w:r w:rsidRPr="00F838C8">
        <w:rPr>
          <w:rFonts w:eastAsia="宋体"/>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7FFB19C5" w14:textId="7B885C51" w:rsidR="001F023B" w:rsidRDefault="001F023B" w:rsidP="001F023B">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afa"/>
        <w:numPr>
          <w:ilvl w:val="0"/>
          <w:numId w:val="8"/>
        </w:numPr>
      </w:pPr>
      <w:r w:rsidRPr="00F838C8">
        <w:t xml:space="preserve">The </w:t>
      </w:r>
      <w:r w:rsidRPr="00373D27">
        <w:rPr>
          <w:rFonts w:eastAsia="宋体"/>
        </w:rPr>
        <w:t xml:space="preserve">transparent satellite is served before and after the feeder link switch by the same </w:t>
      </w:r>
      <w:proofErr w:type="spellStart"/>
      <w:r w:rsidRPr="00373D27">
        <w:rPr>
          <w:rFonts w:eastAsia="宋体"/>
        </w:rPr>
        <w:t>gNB</w:t>
      </w:r>
      <w:proofErr w:type="spellEnd"/>
      <w:r w:rsidRPr="00373D27">
        <w:rPr>
          <w:rFonts w:eastAsia="宋体"/>
        </w:rPr>
        <w:t xml:space="preserve">. Both feeder links are connected to the same </w:t>
      </w:r>
      <w:proofErr w:type="spellStart"/>
      <w:r w:rsidRPr="00373D27">
        <w:rPr>
          <w:rFonts w:eastAsia="宋体"/>
        </w:rPr>
        <w:t>gNB</w:t>
      </w:r>
      <w:proofErr w:type="spellEnd"/>
      <w:r w:rsidRPr="00373D27">
        <w:rPr>
          <w:rFonts w:eastAsia="宋体"/>
        </w:rPr>
        <w:t xml:space="preserve">, but through different NTN-GWs. </w:t>
      </w:r>
      <w:r>
        <w:rPr>
          <w:rFonts w:eastAsia="宋体"/>
        </w:rPr>
        <w:t>With</w:t>
      </w:r>
      <w:r w:rsidRPr="00373D27">
        <w:rPr>
          <w:rFonts w:eastAsia="宋体"/>
        </w:rPr>
        <w:t xml:space="preserve"> two feeder link connections serving via the same satellite during the transition, the </w:t>
      </w:r>
      <w:proofErr w:type="spellStart"/>
      <w:r w:rsidRPr="00373D27">
        <w:rPr>
          <w:rFonts w:eastAsia="宋体"/>
        </w:rPr>
        <w:t>gNB</w:t>
      </w:r>
      <w:proofErr w:type="spellEnd"/>
      <w:r w:rsidRPr="00373D27">
        <w:rPr>
          <w:rFonts w:eastAsia="宋体"/>
        </w:rPr>
        <w:t xml:space="preserve"> can transmit the DL reference signals without interruption to keep the cell "alive". There may be no need of a HO if the security keys of </w:t>
      </w:r>
      <w:proofErr w:type="spellStart"/>
      <w:r w:rsidRPr="00373D27">
        <w:rPr>
          <w:rFonts w:eastAsia="宋体"/>
        </w:rPr>
        <w:t>gNB</w:t>
      </w:r>
      <w:proofErr w:type="spellEnd"/>
      <w:r w:rsidRPr="00373D27">
        <w:rPr>
          <w:rFonts w:eastAsia="宋体"/>
        </w:rPr>
        <w:t xml:space="preserve"> can be kept in the UE. Re-configuration of </w:t>
      </w:r>
      <w:proofErr w:type="spellStart"/>
      <w:r w:rsidRPr="00373D27">
        <w:rPr>
          <w:rFonts w:eastAsia="宋体"/>
        </w:rPr>
        <w:t>gNB</w:t>
      </w:r>
      <w:proofErr w:type="spellEnd"/>
      <w:r w:rsidRPr="00373D27">
        <w:rPr>
          <w:rFonts w:eastAsia="宋体"/>
        </w:rPr>
        <w:t xml:space="preserve"> may be avoided if the same configuration is used before and after the switch. The switchover relies on the temporary overlap of cells from the </w:t>
      </w:r>
      <w:proofErr w:type="spellStart"/>
      <w:r w:rsidRPr="00373D27">
        <w:rPr>
          <w:rFonts w:eastAsia="宋体"/>
        </w:rPr>
        <w:t>gNBs</w:t>
      </w:r>
      <w:proofErr w:type="spellEnd"/>
      <w:r w:rsidRPr="00373D27">
        <w:rPr>
          <w:rFonts w:eastAsia="宋体"/>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a"/>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a"/>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a"/>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a"/>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afa"/>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af3"/>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F473C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F473C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r w:rsidR="004A035D" w14:paraId="08E22DB6"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79D39F8" w14:textId="0678EA4B"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5C59B44" w14:textId="67C1065A" w:rsidR="004A035D" w:rsidRDefault="004A035D" w:rsidP="004A035D">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upport Proposal 3-1.</w:t>
            </w:r>
          </w:p>
        </w:tc>
      </w:tr>
    </w:tbl>
    <w:p w14:paraId="745F2CBE" w14:textId="77777777" w:rsidR="0020270C" w:rsidRPr="00A80AA6" w:rsidRDefault="0020270C" w:rsidP="00201E04">
      <w:pPr>
        <w:pStyle w:val="af3"/>
        <w:rPr>
          <w:color w:val="000000" w:themeColor="text1"/>
          <w:lang w:eastAsia="ko-KR"/>
        </w:rPr>
      </w:pP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5C61E1" w:rsidP="00BB341A">
      <w:pPr>
        <w:jc w:val="center"/>
      </w:pPr>
      <w:r>
        <w:rPr>
          <w:noProof/>
        </w:rPr>
        <w:object w:dxaOrig="1909" w:dyaOrig="2184" w14:anchorId="522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33.5pt;mso-width-percent:0;mso-height-percent:0;mso-width-percent:0;mso-height-percent:0" o:ole="">
            <v:imagedata r:id="rId13" o:title=""/>
          </v:shape>
          <o:OLEObject Type="Embed" ProgID="Visio.Drawing.15" ShapeID="_x0000_i1025" DrawAspect="Content" ObjectID="_1659419886"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a"/>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block for both </w:t>
      </w:r>
      <w:proofErr w:type="spellStart"/>
      <w:r w:rsidR="00A53F58" w:rsidRPr="00A53F58">
        <w:rPr>
          <w:lang w:eastAsia="ko-KR"/>
        </w:rPr>
        <w:t>Opt</w:t>
      </w:r>
      <w:proofErr w:type="spellEnd"/>
      <w:r w:rsidR="00A53F58" w:rsidRPr="00A53F58">
        <w:rPr>
          <w:lang w:eastAsia="ko-KR"/>
        </w:rPr>
        <w:t xml:space="preserve"> 2 and </w:t>
      </w:r>
      <w:proofErr w:type="spellStart"/>
      <w:r w:rsidR="00A53F58" w:rsidRPr="00A53F58">
        <w:rPr>
          <w:lang w:eastAsia="ko-KR"/>
        </w:rPr>
        <w:t>Opt</w:t>
      </w:r>
      <w:proofErr w:type="spellEnd"/>
      <w:r w:rsidR="00A53F58" w:rsidRPr="00A53F58">
        <w:rPr>
          <w:lang w:eastAsia="ko-KR"/>
        </w:rPr>
        <w:t xml:space="preserve"> 3. </w:t>
      </w:r>
      <w:r w:rsidR="00A53F58">
        <w:rPr>
          <w:lang w:eastAsia="ko-KR"/>
        </w:rPr>
        <w:t>[22].</w:t>
      </w:r>
    </w:p>
    <w:p w14:paraId="44AD1114" w14:textId="2507C676" w:rsidR="00A53F58" w:rsidRDefault="005C61E1" w:rsidP="00A53F58">
      <w:pPr>
        <w:jc w:val="center"/>
        <w:rPr>
          <w:lang w:eastAsia="ko-KR"/>
        </w:rPr>
      </w:pPr>
      <w:r>
        <w:rPr>
          <w:noProof/>
        </w:rPr>
        <w:object w:dxaOrig="9996" w:dyaOrig="5424" w14:anchorId="117FC198">
          <v:shape id="_x0000_i1026" type="#_x0000_t75" alt="" style="width:257.25pt;height:136.5pt;mso-width-percent:0;mso-height-percent:0;mso-width-percent:0;mso-height-percent:0" o:ole="">
            <v:imagedata r:id="rId16" o:title=""/>
          </v:shape>
          <o:OLEObject Type="Embed" ProgID="Visio.Drawing.15" ShapeID="_x0000_i1026" DrawAspect="Content" ObjectID="_1659419887" r:id="rId17"/>
        </w:object>
      </w:r>
    </w:p>
    <w:p w14:paraId="3962FEBC" w14:textId="791F9B25" w:rsidR="00A53F58" w:rsidRDefault="00A53F58" w:rsidP="0004180C">
      <w:pPr>
        <w:pStyle w:val="afa"/>
        <w:numPr>
          <w:ilvl w:val="0"/>
          <w:numId w:val="8"/>
        </w:numPr>
        <w:rPr>
          <w:lang w:eastAsia="ko-KR"/>
        </w:rPr>
      </w:pPr>
      <w:r>
        <w:rPr>
          <w:lang w:eastAsia="ko-KR"/>
        </w:rPr>
        <w:t>Support the following SSB arrangements</w:t>
      </w:r>
    </w:p>
    <w:p w14:paraId="25D35714" w14:textId="7AFF4DD2" w:rsidR="00A53F58" w:rsidRDefault="00A53F58" w:rsidP="0004180C">
      <w:pPr>
        <w:pStyle w:val="afa"/>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a"/>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a"/>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a"/>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a"/>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a"/>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a"/>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a"/>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a"/>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a"/>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a"/>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a"/>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afa"/>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a"/>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a"/>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a"/>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a"/>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a"/>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a"/>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afa"/>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a"/>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a"/>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a"/>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3"/>
      </w:pPr>
      <w:r>
        <w:t>Ericsson proposed to discuss the following for beam management [17]</w:t>
      </w:r>
    </w:p>
    <w:p w14:paraId="3CD1CE10" w14:textId="42D4D9A1" w:rsidR="00A569E3" w:rsidRDefault="00863704" w:rsidP="00810AF8">
      <w:pPr>
        <w:pStyle w:val="af3"/>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3"/>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af3"/>
      </w:pPr>
      <w:r>
        <w:lastRenderedPageBreak/>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proofErr w:type="gramStart"/>
      <w:r w:rsidR="00904443" w:rsidRPr="00904443">
        <w:t>)</w:t>
      </w:r>
      <w:r w:rsidR="00904443">
        <w:t xml:space="preserve">  [</w:t>
      </w:r>
      <w:proofErr w:type="gramEnd"/>
      <w:r>
        <w:t>14].</w:t>
      </w:r>
    </w:p>
    <w:p w14:paraId="65D7B775" w14:textId="4AC48509" w:rsidR="0086495C" w:rsidRDefault="0013480C" w:rsidP="002D2546">
      <w:pPr>
        <w:pStyle w:val="af3"/>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af3"/>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af3"/>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3"/>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3"/>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af3"/>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3"/>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af3"/>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3"/>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3"/>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w:t>
            </w:r>
            <w:proofErr w:type="gramStart"/>
            <w:r w:rsidR="00F82299">
              <w:rPr>
                <w:rFonts w:eastAsia="MS Mincho"/>
                <w:bCs/>
                <w:iCs/>
                <w:lang w:eastAsia="ja-JP"/>
              </w:rPr>
              <w:t>location based</w:t>
            </w:r>
            <w:proofErr w:type="gramEnd"/>
            <w:r w:rsidR="00F82299">
              <w:rPr>
                <w:rFonts w:eastAsia="MS Mincho"/>
                <w:bCs/>
                <w:iCs/>
                <w:lang w:eastAsia="ja-JP"/>
              </w:rPr>
              <w:t xml:space="preserve">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w:t>
            </w:r>
            <w:r w:rsidRPr="0029770A">
              <w:rPr>
                <w:bCs/>
                <w:iCs/>
                <w:lang w:eastAsia="ko-KR"/>
              </w:rPr>
              <w:lastRenderedPageBreak/>
              <w:t>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afa"/>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afa"/>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afa"/>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afa"/>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 xml:space="preserve">artially agree. Agree to discuss the SSB arrangements for beams and BWPs. But the details including various alternatives and enhancements need further discussion. It is better to reuse Rel.15/Rel.16 beam </w:t>
            </w:r>
            <w:r>
              <w:rPr>
                <w:rFonts w:eastAsiaTheme="minorEastAsia"/>
                <w:lang w:eastAsia="zh-CN"/>
              </w:rPr>
              <w:lastRenderedPageBreak/>
              <w:t>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4C421069" w14:textId="77777777" w:rsidR="008C5B05" w:rsidRDefault="008C5B05" w:rsidP="008C5B05">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7512D8AC" w14:textId="77777777" w:rsidR="001B6B2F" w:rsidRDefault="001B6B2F" w:rsidP="001B6B2F">
            <w:pPr>
              <w:pStyle w:val="afa"/>
              <w:numPr>
                <w:ilvl w:val="0"/>
                <w:numId w:val="34"/>
              </w:numPr>
              <w:autoSpaceDE w:val="0"/>
              <w:autoSpaceDN w:val="0"/>
              <w:adjustRightInd w:val="0"/>
              <w:snapToGrid w:val="0"/>
            </w:pPr>
            <w:r w:rsidRPr="006C123A">
              <w:t>SSB arrangements</w:t>
            </w:r>
          </w:p>
          <w:p w14:paraId="27FE14B3" w14:textId="77777777" w:rsidR="001B6B2F" w:rsidRDefault="001B6B2F" w:rsidP="001B6B2F">
            <w:pPr>
              <w:pStyle w:val="afa"/>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lastRenderedPageBreak/>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Proposal #4-2 and #4-3: Since the TCI state includes fields for Cell index, BWP index, SSB index, CSI RS for a specific CORESET, discussions on TCI or beam measurements should be postponed until there is agreement on whether there is need for new associations of SSB, beams, and BWPs for NTN.</w:t>
            </w:r>
          </w:p>
        </w:tc>
      </w:tr>
      <w:tr w:rsidR="00321E70" w14:paraId="05B892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8F73528" w14:textId="47142EC5" w:rsidR="00321E70" w:rsidRPr="00455192" w:rsidRDefault="00321E70" w:rsidP="00F80318">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E689735" w14:textId="77777777" w:rsidR="00D842F1" w:rsidRDefault="00321E70" w:rsidP="00321E70">
            <w:pPr>
              <w:autoSpaceDE w:val="0"/>
              <w:autoSpaceDN w:val="0"/>
              <w:adjustRightInd w:val="0"/>
              <w:snapToGrid w:val="0"/>
              <w:rPr>
                <w:rFonts w:eastAsiaTheme="minorEastAsia"/>
                <w:lang w:eastAsia="zh-CN"/>
              </w:rPr>
            </w:pPr>
            <w:r w:rsidRPr="00220494">
              <w:rPr>
                <w:rFonts w:eastAsia="MS Mincho"/>
                <w:bCs/>
                <w:iCs/>
                <w:lang w:eastAsia="ja-JP"/>
              </w:rPr>
              <w:t>Potential proposal #4-1</w:t>
            </w:r>
            <w:r w:rsidR="001441B1">
              <w:rPr>
                <w:rFonts w:eastAsia="MS Mincho"/>
                <w:bCs/>
                <w:iCs/>
                <w:lang w:eastAsia="ja-JP"/>
              </w:rPr>
              <w:t>, #4-2 and #4-3</w:t>
            </w:r>
            <w:r>
              <w:rPr>
                <w:rFonts w:eastAsia="MS Mincho"/>
                <w:bCs/>
                <w:iCs/>
                <w:lang w:eastAsia="ja-JP"/>
              </w:rPr>
              <w:t xml:space="preserve">: </w:t>
            </w:r>
            <w:r w:rsidR="001441B1">
              <w:rPr>
                <w:rFonts w:eastAsiaTheme="minorEastAsia"/>
                <w:lang w:eastAsia="zh-CN"/>
              </w:rPr>
              <w:t xml:space="preserve">There are too many </w:t>
            </w:r>
            <w:r w:rsidR="00D842F1">
              <w:rPr>
                <w:rFonts w:eastAsiaTheme="minorEastAsia"/>
                <w:lang w:eastAsia="zh-CN"/>
              </w:rPr>
              <w:t>bullet</w:t>
            </w:r>
            <w:r w:rsidR="001441B1">
              <w:rPr>
                <w:rFonts w:eastAsiaTheme="minorEastAsia"/>
                <w:lang w:eastAsia="zh-CN"/>
              </w:rPr>
              <w:t xml:space="preserve"> points</w:t>
            </w:r>
            <w:r w:rsidR="00D842F1">
              <w:rPr>
                <w:rFonts w:eastAsiaTheme="minorEastAsia"/>
                <w:lang w:eastAsia="zh-CN"/>
              </w:rPr>
              <w:t xml:space="preserve"> and </w:t>
            </w:r>
            <w:proofErr w:type="spellStart"/>
            <w:r w:rsidR="00D842F1">
              <w:rPr>
                <w:rFonts w:eastAsiaTheme="minorEastAsia"/>
                <w:lang w:eastAsia="zh-CN"/>
              </w:rPr>
              <w:t>its</w:t>
            </w:r>
            <w:proofErr w:type="spellEnd"/>
            <w:r w:rsidR="00D842F1">
              <w:rPr>
                <w:rFonts w:eastAsiaTheme="minorEastAsia"/>
                <w:lang w:eastAsia="zh-CN"/>
              </w:rPr>
              <w:t xml:space="preserve"> hard to comment. </w:t>
            </w:r>
          </w:p>
          <w:p w14:paraId="6FBBBF4F" w14:textId="77777777" w:rsidR="00321E70" w:rsidRDefault="00D842F1" w:rsidP="00321E70">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7EBF2342" w14:textId="0F79E057" w:rsidR="00D842F1" w:rsidRPr="00455192" w:rsidRDefault="00D842F1" w:rsidP="00321E70">
            <w:pPr>
              <w:autoSpaceDE w:val="0"/>
              <w:autoSpaceDN w:val="0"/>
              <w:adjustRightInd w:val="0"/>
              <w:snapToGrid w:val="0"/>
              <w:rPr>
                <w:lang w:eastAsia="ko-KR"/>
              </w:rPr>
            </w:pPr>
            <w:r>
              <w:rPr>
                <w:lang w:eastAsia="ko-KR"/>
              </w:rPr>
              <w:t>We consider that high level agreements must first be reached and agree with QC that an agenda item dedicated to SSB arrangement and BWP operation is useful</w:t>
            </w:r>
          </w:p>
        </w:tc>
      </w:tr>
      <w:tr w:rsidR="004A035D" w14:paraId="21370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14978BE" w14:textId="3C8D6677" w:rsidR="004A035D" w:rsidRDefault="004A035D" w:rsidP="004A035D">
            <w:pPr>
              <w:jc w:val="center"/>
              <w:rPr>
                <w:rFonts w:cs="Arial"/>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7A0BD26" w14:textId="77777777" w:rsidR="004A035D" w:rsidRDefault="004A035D" w:rsidP="004A035D">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3AA9DAAE" w14:textId="0C850D16" w:rsidR="004A035D" w:rsidRPr="00220494" w:rsidRDefault="004A035D" w:rsidP="004A035D">
            <w:pPr>
              <w:autoSpaceDE w:val="0"/>
              <w:autoSpaceDN w:val="0"/>
              <w:adjustRightInd w:val="0"/>
              <w:snapToGrid w:val="0"/>
              <w:rPr>
                <w:rFonts w:eastAsia="MS Mincho"/>
                <w:bCs/>
                <w:iCs/>
                <w:lang w:eastAsia="ja-JP"/>
              </w:rPr>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cell/BWP/beam/SSB/CSI-RS is determined.</w:t>
            </w:r>
          </w:p>
        </w:tc>
      </w:tr>
    </w:tbl>
    <w:p w14:paraId="5B3541BD" w14:textId="77777777" w:rsidR="00A80AA6" w:rsidRDefault="00A80AA6" w:rsidP="00A80AA6">
      <w:pPr>
        <w:pStyle w:val="af3"/>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3"/>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3"/>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3"/>
      </w:pPr>
      <w:r>
        <w:rPr>
          <w:noProof/>
          <w:lang w:val="en-US"/>
        </w:rPr>
        <w:lastRenderedPageBreak/>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3"/>
      </w:pPr>
    </w:p>
    <w:p w14:paraId="52AA7F50" w14:textId="37B603C2" w:rsidR="004F06AD" w:rsidRDefault="004F06AD" w:rsidP="004F06AD">
      <w:pPr>
        <w:pStyle w:val="af3"/>
      </w:pPr>
      <w:r>
        <w:t>Qualcomm proposed to consider the following [22]:</w:t>
      </w:r>
    </w:p>
    <w:p w14:paraId="6CFE7721" w14:textId="0C2CE8C8" w:rsidR="004F06AD" w:rsidRDefault="004F06AD" w:rsidP="004F06AD">
      <w:pPr>
        <w:pStyle w:val="af3"/>
        <w:numPr>
          <w:ilvl w:val="0"/>
          <w:numId w:val="5"/>
        </w:numPr>
      </w:pPr>
      <w:r>
        <w:t xml:space="preserve">BWP switching schemes to support efficient satellite beam switch. </w:t>
      </w:r>
    </w:p>
    <w:p w14:paraId="0D709F86" w14:textId="419CCECA" w:rsidR="00A97AEE" w:rsidRDefault="004F06AD" w:rsidP="004F06AD">
      <w:pPr>
        <w:pStyle w:val="af3"/>
        <w:numPr>
          <w:ilvl w:val="0"/>
          <w:numId w:val="5"/>
        </w:numPr>
      </w:pPr>
      <w:r>
        <w:t xml:space="preserve">Efficient signalling of BWP configurations.  </w:t>
      </w:r>
    </w:p>
    <w:p w14:paraId="68838ABC" w14:textId="0DA06A6B" w:rsidR="004F06AD" w:rsidRDefault="004F06AD" w:rsidP="004F06AD">
      <w:pPr>
        <w:pStyle w:val="af3"/>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3"/>
        <w:numPr>
          <w:ilvl w:val="0"/>
          <w:numId w:val="5"/>
        </w:numPr>
      </w:pPr>
      <w:r>
        <w:t>S</w:t>
      </w:r>
      <w:r w:rsidRPr="004F06AD">
        <w:t>ynch raster design to reduce initial access time</w:t>
      </w:r>
    </w:p>
    <w:p w14:paraId="7D8EAF44" w14:textId="6570FEED" w:rsidR="004F06AD" w:rsidRDefault="004F06AD" w:rsidP="004F06AD">
      <w:pPr>
        <w:pStyle w:val="af3"/>
        <w:numPr>
          <w:ilvl w:val="0"/>
          <w:numId w:val="5"/>
        </w:numPr>
      </w:pPr>
      <w:r>
        <w:t>D</w:t>
      </w:r>
      <w:r w:rsidRPr="004F06AD">
        <w:t>esigning different SIBs based on the system information updating rate</w:t>
      </w:r>
    </w:p>
    <w:p w14:paraId="50BECA8F" w14:textId="77777777" w:rsidR="00DD0312" w:rsidRDefault="00DD0312" w:rsidP="00DD0312">
      <w:pPr>
        <w:pStyle w:val="af3"/>
      </w:pPr>
    </w:p>
    <w:p w14:paraId="61255495" w14:textId="7366FB2C" w:rsidR="00DD0312" w:rsidRDefault="00DD0312" w:rsidP="00DD0312">
      <w:pPr>
        <w:pStyle w:val="af3"/>
      </w:pPr>
      <w:r>
        <w:t>CATT observed the following enhancements to make BWP based beam switching robust in NTN scenarios could be considered [7]:</w:t>
      </w:r>
    </w:p>
    <w:p w14:paraId="0130B464" w14:textId="1C3BBB52" w:rsidR="00DD0312" w:rsidRDefault="00DD0312" w:rsidP="00DD0312">
      <w:pPr>
        <w:pStyle w:val="af3"/>
        <w:numPr>
          <w:ilvl w:val="0"/>
          <w:numId w:val="18"/>
        </w:numPr>
      </w:pPr>
      <w:r>
        <w:rPr>
          <w:rFonts w:hint="eastAsia"/>
        </w:rPr>
        <w:t>DL BWP and UL BWP should be switched together.</w:t>
      </w:r>
    </w:p>
    <w:p w14:paraId="44851BE5" w14:textId="7153B1D4" w:rsidR="00DD0312" w:rsidRDefault="00DD0312" w:rsidP="00DD0312">
      <w:pPr>
        <w:pStyle w:val="af3"/>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af3"/>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af3"/>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3"/>
      </w:pPr>
    </w:p>
    <w:p w14:paraId="33AD6F98" w14:textId="7608ADDC" w:rsidR="00142ACE" w:rsidRDefault="002703A5" w:rsidP="00142ACE">
      <w:pPr>
        <w:pStyle w:val="af3"/>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3"/>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3"/>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af3"/>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3"/>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3"/>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3"/>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af3"/>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3"/>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and BWPs for NTN.</w:t>
            </w:r>
          </w:p>
        </w:tc>
      </w:tr>
      <w:tr w:rsidR="00D842F1" w14:paraId="443B6AE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C7FF288" w14:textId="005C6233" w:rsidR="00D842F1" w:rsidRDefault="00D842F1" w:rsidP="001167CC">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7388052C" w14:textId="555BB061" w:rsidR="00D842F1" w:rsidRPr="00455192" w:rsidRDefault="00D842F1" w:rsidP="001167CC">
            <w:pPr>
              <w:autoSpaceDE w:val="0"/>
              <w:autoSpaceDN w:val="0"/>
              <w:adjustRightInd w:val="0"/>
              <w:snapToGrid w:val="0"/>
              <w:rPr>
                <w:rFonts w:eastAsia="MS Mincho"/>
                <w:bCs/>
                <w:iCs/>
                <w:lang w:val="en-US" w:eastAsia="ja-JP"/>
              </w:rPr>
            </w:pPr>
            <w:r>
              <w:rPr>
                <w:rFonts w:eastAsia="MS Mincho"/>
                <w:bCs/>
                <w:iCs/>
                <w:lang w:val="en-US" w:eastAsia="ja-JP"/>
              </w:rPr>
              <w:t xml:space="preserve">Supportive of more studies. </w:t>
            </w:r>
          </w:p>
        </w:tc>
      </w:tr>
      <w:tr w:rsidR="004A035D" w14:paraId="6F8D1D98"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98E2C6F" w14:textId="48D03A67" w:rsidR="004A035D" w:rsidRDefault="004A035D" w:rsidP="004A035D">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3E4B7325" w14:textId="775D6BBD" w:rsidR="004A035D" w:rsidRDefault="004A035D" w:rsidP="004A035D">
            <w:pPr>
              <w:autoSpaceDE w:val="0"/>
              <w:autoSpaceDN w:val="0"/>
              <w:adjustRightInd w:val="0"/>
              <w:snapToGrid w:val="0"/>
              <w:rPr>
                <w:rFonts w:eastAsia="MS Mincho"/>
                <w:bCs/>
                <w:iCs/>
                <w:lang w:val="en-US" w:eastAsia="ja-JP"/>
              </w:rPr>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bl>
    <w:p w14:paraId="68B9F906" w14:textId="77777777" w:rsidR="00FE08DF"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3"/>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w:t>
      </w:r>
      <w:r>
        <w:lastRenderedPageBreak/>
        <w:t xml:space="preserve">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af3"/>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af3"/>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3"/>
      </w:pPr>
      <w:r>
        <w:t xml:space="preserve">Several companies discussed signalling mechanisms for polarisation: </w:t>
      </w:r>
    </w:p>
    <w:p w14:paraId="37A324F8" w14:textId="3FD18BC4" w:rsidR="00FD0649" w:rsidRDefault="00FD0649" w:rsidP="00810AF8">
      <w:pPr>
        <w:pStyle w:val="af3"/>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t xml:space="preserve"> [17</w:t>
      </w:r>
      <w:r w:rsidR="00F8227D">
        <w:t>, 1</w:t>
      </w:r>
      <w:r>
        <w:t>]</w:t>
      </w:r>
    </w:p>
    <w:p w14:paraId="6E6AA162" w14:textId="0BB34D6A" w:rsidR="00FD0649" w:rsidRDefault="00FD0649" w:rsidP="00810AF8">
      <w:pPr>
        <w:pStyle w:val="af3"/>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3"/>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3"/>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af3"/>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3"/>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3"/>
      </w:pPr>
    </w:p>
    <w:p w14:paraId="10588684" w14:textId="7209EDCE" w:rsidR="009A7B3C" w:rsidRDefault="002703A5" w:rsidP="009A7B3C">
      <w:pPr>
        <w:pStyle w:val="af3"/>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3"/>
        <w:numPr>
          <w:ilvl w:val="0"/>
          <w:numId w:val="22"/>
        </w:numPr>
        <w:rPr>
          <w:b/>
          <w:i/>
        </w:rPr>
      </w:pPr>
      <w:r>
        <w:rPr>
          <w:b/>
          <w:i/>
        </w:rPr>
        <w:t>C</w:t>
      </w:r>
      <w:r w:rsidRPr="00335D29">
        <w:rPr>
          <w:b/>
          <w:i/>
        </w:rPr>
        <w:t xml:space="preserve">onfiguration of DL and UL transmit polarization including Right hand and </w:t>
      </w:r>
      <w:proofErr w:type="gramStart"/>
      <w:r w:rsidRPr="00335D29">
        <w:rPr>
          <w:b/>
          <w:i/>
        </w:rPr>
        <w:t>left hand</w:t>
      </w:r>
      <w:proofErr w:type="gramEnd"/>
      <w:r w:rsidRPr="00335D29">
        <w:rPr>
          <w:b/>
          <w:i/>
        </w:rPr>
        <w:t xml:space="preserve"> circular polarizations (RHCP, LHCP) [17, 1]</w:t>
      </w:r>
    </w:p>
    <w:p w14:paraId="590BE1DD" w14:textId="2CDBEBA7" w:rsidR="00335D29" w:rsidRPr="00335D29" w:rsidRDefault="00335D29" w:rsidP="00335D29">
      <w:pPr>
        <w:pStyle w:val="af3"/>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3"/>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3"/>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3"/>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lastRenderedPageBreak/>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r w:rsidR="00D842F1" w14:paraId="3A38373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4E21F4A" w14:textId="07E9F161" w:rsidR="00D842F1" w:rsidRDefault="00D842F1" w:rsidP="00A40FA7">
            <w:pPr>
              <w:jc w:val="center"/>
              <w:rPr>
                <w:rFonts w:cs="Arial"/>
              </w:rP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01D74329" w14:textId="21381F46" w:rsidR="00D842F1" w:rsidRPr="00455192" w:rsidRDefault="00D842F1" w:rsidP="00EA5A3C">
            <w:pPr>
              <w:autoSpaceDE w:val="0"/>
              <w:autoSpaceDN w:val="0"/>
              <w:adjustRightInd w:val="0"/>
              <w:snapToGrid w:val="0"/>
              <w:rPr>
                <w:rFonts w:eastAsia="MS Mincho"/>
                <w:bCs/>
                <w:iCs/>
                <w:lang w:eastAsia="ja-JP"/>
              </w:rPr>
            </w:pPr>
            <w:r>
              <w:rPr>
                <w:rFonts w:eastAsia="MS Mincho"/>
                <w:bCs/>
                <w:iCs/>
                <w:lang w:eastAsia="ja-JP"/>
              </w:rPr>
              <w:t>Support the entire proposal #4-5</w:t>
            </w:r>
          </w:p>
        </w:tc>
      </w:tr>
      <w:tr w:rsidR="004A035D" w14:paraId="4982A73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0728CB" w14:textId="461A249C" w:rsidR="004A035D" w:rsidRDefault="004A035D" w:rsidP="004A035D">
            <w:pPr>
              <w:jc w:val="center"/>
              <w:rPr>
                <w:rFonts w:cs="Arial"/>
              </w:rPr>
            </w:pPr>
            <w:bookmarkStart w:id="3" w:name="_GoBack" w:colFirst="0" w:colLast="0"/>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62B4B4A2" w14:textId="73FB3EA0" w:rsidR="004A035D" w:rsidRDefault="004A035D" w:rsidP="004A035D">
            <w:pPr>
              <w:autoSpaceDE w:val="0"/>
              <w:autoSpaceDN w:val="0"/>
              <w:adjustRightInd w:val="0"/>
              <w:snapToGrid w:val="0"/>
              <w:rPr>
                <w:rFonts w:eastAsia="MS Mincho"/>
                <w:bCs/>
                <w:iCs/>
                <w:lang w:eastAsia="ja-JP"/>
              </w:rPr>
            </w:pPr>
            <w:r>
              <w:rPr>
                <w:rFonts w:eastAsiaTheme="minorEastAsia" w:hint="eastAsia"/>
                <w:bCs/>
                <w:iCs/>
                <w:lang w:eastAsia="zh-CN"/>
              </w:rPr>
              <w:t>S</w:t>
            </w:r>
            <w:r>
              <w:rPr>
                <w:rFonts w:eastAsiaTheme="minorEastAsia"/>
                <w:bCs/>
                <w:iCs/>
                <w:lang w:eastAsia="zh-CN"/>
              </w:rPr>
              <w:t>upport proposal 4-5.</w:t>
            </w:r>
          </w:p>
        </w:tc>
      </w:tr>
      <w:bookmarkEnd w:id="3"/>
    </w:tbl>
    <w:p w14:paraId="2B1A7B5F" w14:textId="77777777" w:rsidR="009A7B3C" w:rsidRDefault="009A7B3C"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a"/>
        <w:numPr>
          <w:ilvl w:val="0"/>
          <w:numId w:val="27"/>
        </w:numPr>
        <w:rPr>
          <w:lang w:eastAsia="ko-KR"/>
        </w:rPr>
      </w:pPr>
      <w:r>
        <w:rPr>
          <w:lang w:eastAsia="ko-KR"/>
        </w:rPr>
        <w:lastRenderedPageBreak/>
        <w:t>Extreme large cell coverage range (e.g., up to 300 km) and high speed (e.g., up to 1200km/h)</w:t>
      </w:r>
    </w:p>
    <w:p w14:paraId="0C8165FE" w14:textId="77777777" w:rsidR="000E2E4B" w:rsidRDefault="000E2E4B" w:rsidP="000E2E4B">
      <w:pPr>
        <w:pStyle w:val="afa"/>
        <w:numPr>
          <w:ilvl w:val="0"/>
          <w:numId w:val="27"/>
        </w:numPr>
        <w:rPr>
          <w:lang w:eastAsia="ko-KR"/>
        </w:rPr>
      </w:pPr>
      <w:r>
        <w:rPr>
          <w:lang w:eastAsia="ko-KR"/>
        </w:rPr>
        <w:t>Coexistence between ATG and terrestrial network</w:t>
      </w:r>
    </w:p>
    <w:p w14:paraId="5B328190" w14:textId="77777777" w:rsidR="000E2E4B" w:rsidRDefault="000E2E4B" w:rsidP="000E2E4B">
      <w:pPr>
        <w:pStyle w:val="afa"/>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5C61E1" w:rsidP="000E2E4B">
      <w:pPr>
        <w:pStyle w:val="af3"/>
      </w:pPr>
      <w:r>
        <w:rPr>
          <w:noProof/>
        </w:rPr>
        <w:object w:dxaOrig="4260" w:dyaOrig="2749" w14:anchorId="47AD605F">
          <v:shape id="_x0000_i1027" type="#_x0000_t75" alt="" style="width:146.25pt;height:96pt;mso-width-percent:0;mso-height-percent:0;mso-width-percent:0;mso-height-percent:0" o:ole="">
            <v:imagedata r:id="rId22" o:title=""/>
          </v:shape>
          <o:OLEObject Type="Embed" ProgID="Visio.Drawing.15" ShapeID="_x0000_i1027" DrawAspect="Content" ObjectID="_1659419888" r:id="rId23"/>
        </w:object>
      </w:r>
      <w:r>
        <w:rPr>
          <w:noProof/>
        </w:rPr>
        <w:object w:dxaOrig="13621" w:dyaOrig="3205" w14:anchorId="5437DF7D">
          <v:shape id="_x0000_i1028" type="#_x0000_t75" alt="" style="width:333.75pt;height:78pt;mso-width-percent:0;mso-height-percent:0;mso-width-percent:0;mso-height-percent:0" o:ole="">
            <v:imagedata r:id="rId24" o:title=""/>
          </v:shape>
          <o:OLEObject Type="Embed" ProgID="Visio.Drawing.15" ShapeID="_x0000_i1028" DrawAspect="Content" ObjectID="_1659419889" r:id="rId25"/>
        </w:object>
      </w:r>
    </w:p>
    <w:p w14:paraId="713E8925" w14:textId="77777777" w:rsidR="000E2E4B" w:rsidRDefault="000E2E4B" w:rsidP="000E2E4B">
      <w:pPr>
        <w:pStyle w:val="af3"/>
      </w:pPr>
      <w:r>
        <w:t>CMCC discussed ATG in NR TDD in 5 GHz and makes several proposals to support ATG scenario [13]</w:t>
      </w:r>
    </w:p>
    <w:p w14:paraId="072056CB" w14:textId="77777777" w:rsidR="000E2E4B" w:rsidRDefault="000E2E4B" w:rsidP="000E2E4B">
      <w:pPr>
        <w:pStyle w:val="afa"/>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afa"/>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a"/>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a"/>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a"/>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a"/>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afa"/>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a"/>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a"/>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a"/>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a"/>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afa"/>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a"/>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3"/>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af3"/>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af3"/>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af3"/>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af3"/>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 xml:space="preserve">Agree with CMCC proposal to discuss the detail technique solutions of ATG in other agendas. We discussed HARQ aspects of ATG in our </w:t>
            </w:r>
            <w:proofErr w:type="spellStart"/>
            <w:r w:rsidRPr="00455192">
              <w:rPr>
                <w:rFonts w:eastAsiaTheme="minorEastAsia"/>
                <w:lang w:eastAsia="zh-CN"/>
              </w:rPr>
              <w:t>TDoc</w:t>
            </w:r>
            <w:proofErr w:type="spellEnd"/>
            <w:r w:rsidRPr="00455192">
              <w:rPr>
                <w:rFonts w:eastAsiaTheme="minorEastAsia"/>
                <w:lang w:eastAsia="zh-CN"/>
              </w:rPr>
              <w:t xml:space="preserve"> R1-2005497 in AI 8.4.3.</w:t>
            </w:r>
          </w:p>
        </w:tc>
      </w:tr>
      <w:tr w:rsidR="00D842F1" w14:paraId="4692FEE9"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070224" w14:textId="6DB880CA" w:rsidR="00D842F1" w:rsidRPr="00455192" w:rsidRDefault="00D842F1" w:rsidP="00232365">
            <w:pPr>
              <w:jc w:val="center"/>
              <w:rPr>
                <w:rFonts w:eastAsiaTheme="minorEastAsia" w:cs="Arial"/>
                <w:lang w:eastAsia="zh-CN"/>
              </w:rP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62EA0371" w14:textId="09F05627" w:rsidR="00D842F1" w:rsidRPr="00455192" w:rsidRDefault="00D842F1" w:rsidP="00232365">
            <w:pPr>
              <w:autoSpaceDE w:val="0"/>
              <w:autoSpaceDN w:val="0"/>
              <w:adjustRightInd w:val="0"/>
              <w:snapToGrid w:val="0"/>
              <w:rPr>
                <w:rFonts w:eastAsiaTheme="minorEastAsia"/>
                <w:lang w:eastAsia="zh-CN"/>
              </w:rPr>
            </w:pPr>
            <w:r>
              <w:rPr>
                <w:rFonts w:eastAsiaTheme="minorEastAsia"/>
                <w:lang w:eastAsia="zh-CN"/>
              </w:rPr>
              <w:t>Agree with Nokia</w:t>
            </w:r>
          </w:p>
        </w:tc>
      </w:tr>
    </w:tbl>
    <w:p w14:paraId="12FB8DBB" w14:textId="77777777" w:rsidR="000E2E4B" w:rsidRDefault="000E2E4B"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CEEACA" w:themeColor="light1"/>
                <w:kern w:val="24"/>
                <w:sz w:val="18"/>
                <w:szCs w:val="18"/>
                <w:lang w:eastAsia="fr-FR"/>
              </w:rPr>
            </w:pPr>
            <w:r w:rsidRPr="004F32F8">
              <w:rPr>
                <w:rFonts w:ascii="Arial" w:eastAsia="Times New Roman" w:hAnsi="Arial" w:cs="Arial"/>
                <w:b/>
                <w:bCs/>
                <w:color w:val="CEEACA"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CEEACA"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CEEACA" w:themeColor="light1"/>
                <w:kern w:val="24"/>
                <w:sz w:val="18"/>
                <w:szCs w:val="18"/>
                <w:lang w:eastAsia="fr-FR"/>
              </w:rPr>
              <w:t xml:space="preserve">HO </w:t>
            </w:r>
            <w:proofErr w:type="spellStart"/>
            <w:r w:rsidR="00A42324" w:rsidRPr="004F32F8">
              <w:rPr>
                <w:rFonts w:ascii="Arial" w:eastAsia="Times New Roman" w:hAnsi="Arial" w:cs="Arial"/>
                <w:b/>
                <w:bCs/>
                <w:color w:val="CEEACA" w:themeColor="light1"/>
                <w:kern w:val="24"/>
                <w:sz w:val="18"/>
                <w:szCs w:val="18"/>
                <w:lang w:eastAsia="fr-FR"/>
              </w:rPr>
              <w:t>Signaling</w:t>
            </w:r>
            <w:proofErr w:type="spellEnd"/>
            <w:r w:rsidR="00A42324" w:rsidRPr="004F32F8">
              <w:rPr>
                <w:rFonts w:ascii="Arial" w:eastAsia="Times New Roman" w:hAnsi="Arial" w:cs="Arial"/>
                <w:b/>
                <w:bCs/>
                <w:color w:val="CEEACA"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CEEACA"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CEEACA"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3"/>
        <w:rPr>
          <w:b/>
          <w:i/>
        </w:rPr>
      </w:pPr>
    </w:p>
    <w:p w14:paraId="11C863C3" w14:textId="2467FA08" w:rsidR="00E24B51" w:rsidRDefault="00E24B51" w:rsidP="00E24B51">
      <w:pPr>
        <w:pStyle w:val="2"/>
        <w:rPr>
          <w:lang w:eastAsia="ko-KR"/>
        </w:rPr>
      </w:pPr>
      <w:r>
        <w:rPr>
          <w:lang w:eastAsia="ko-KR"/>
        </w:rPr>
        <w:lastRenderedPageBreak/>
        <w:t>PAPR</w:t>
      </w:r>
    </w:p>
    <w:p w14:paraId="6229F012" w14:textId="1213BC95" w:rsidR="00355B02" w:rsidRDefault="00355B02" w:rsidP="00E24B51">
      <w:pPr>
        <w:pStyle w:val="af3"/>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3"/>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3"/>
      </w:pPr>
      <w:r>
        <w:t>Qualcomm proposed to support autonomous reduction of MCS for PUSCH at least for cases when UE is power limited [22]</w:t>
      </w:r>
    </w:p>
    <w:p w14:paraId="0B03E13E" w14:textId="45F5DF18" w:rsidR="009C65A6" w:rsidRDefault="004F06AD" w:rsidP="004F06AD">
      <w:pPr>
        <w:pStyle w:val="af3"/>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3"/>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3"/>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3"/>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3"/>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3"/>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3"/>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3"/>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3"/>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xml:space="preserve">. </w:t>
            </w:r>
            <w:r>
              <w:lastRenderedPageBreak/>
              <w:t>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6.2 We see no need for a new waveform, which would in any case require a 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proofErr w:type="gramStart"/>
            <w:r w:rsidRPr="00455192">
              <w:rPr>
                <w:rFonts w:eastAsia="MS Mincho"/>
                <w:bCs/>
                <w:iCs/>
                <w:lang w:eastAsia="ja-JP"/>
              </w:rPr>
              <w:t>6.6  To</w:t>
            </w:r>
            <w:proofErr w:type="gramEnd"/>
            <w:r w:rsidRPr="00455192">
              <w:rPr>
                <w:rFonts w:eastAsia="MS Mincho"/>
                <w:bCs/>
                <w:iCs/>
                <w:lang w:eastAsia="ja-JP"/>
              </w:rPr>
              <w:t xml:space="preserve">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r w:rsidR="00275B4E" w14:paraId="18F7B2EA"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5E015F" w14:textId="435EB82F" w:rsidR="00275B4E" w:rsidRDefault="00275B4E" w:rsidP="00A40FA7">
            <w:pPr>
              <w:jc w:val="center"/>
              <w:rPr>
                <w:rFonts w:cs="Arial"/>
              </w:rPr>
            </w:pPr>
            <w:r>
              <w:rPr>
                <w:rFonts w:cs="Arial"/>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CCAA7C" w14:textId="123A6802" w:rsidR="00275B4E" w:rsidRPr="00277988" w:rsidRDefault="00275B4E" w:rsidP="00275B4E">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7DB50E7E" w14:textId="59E56B99" w:rsidR="00275B4E" w:rsidRPr="00277988" w:rsidRDefault="00275B4E" w:rsidP="00275B4E">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25F9E180" w14:textId="3E382253" w:rsidR="00275B4E" w:rsidRPr="00277988" w:rsidRDefault="00275B4E" w:rsidP="00275B4E">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7E4CAA5D" w14:textId="4979A85F" w:rsidR="00275B4E" w:rsidRPr="00277988" w:rsidRDefault="00275B4E" w:rsidP="00275B4E">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E309AD5" w14:textId="5B3D2398" w:rsidR="00275B4E" w:rsidRPr="00277988" w:rsidRDefault="00275B4E" w:rsidP="00275B4E">
            <w:pPr>
              <w:autoSpaceDE w:val="0"/>
              <w:autoSpaceDN w:val="0"/>
              <w:adjustRightInd w:val="0"/>
              <w:snapToGrid w:val="0"/>
              <w:rPr>
                <w:bCs/>
                <w:iCs/>
              </w:rPr>
            </w:pPr>
            <w:r w:rsidRPr="00277988">
              <w:rPr>
                <w:bCs/>
                <w:iCs/>
              </w:rPr>
              <w:t>6.5: CSI enhancement is not needed.</w:t>
            </w:r>
          </w:p>
          <w:p w14:paraId="09B0D0B2" w14:textId="77777777" w:rsidR="00275B4E" w:rsidRDefault="00275B4E" w:rsidP="00275B4E">
            <w:pPr>
              <w:autoSpaceDE w:val="0"/>
              <w:autoSpaceDN w:val="0"/>
              <w:adjustRightInd w:val="0"/>
              <w:snapToGrid w:val="0"/>
              <w:rPr>
                <w:bCs/>
                <w:iCs/>
              </w:rPr>
            </w:pPr>
            <w:r w:rsidRPr="00277988">
              <w:rPr>
                <w:bCs/>
                <w:iCs/>
              </w:rPr>
              <w:t>6.6: To be discussed under 8.4.2.</w:t>
            </w:r>
          </w:p>
          <w:p w14:paraId="5F43050B" w14:textId="77777777" w:rsidR="00275B4E" w:rsidRPr="00277988" w:rsidRDefault="00275B4E" w:rsidP="00275B4E">
            <w:pPr>
              <w:autoSpaceDE w:val="0"/>
              <w:autoSpaceDN w:val="0"/>
              <w:adjustRightInd w:val="0"/>
              <w:snapToGrid w:val="0"/>
              <w:rPr>
                <w:bCs/>
                <w:iCs/>
              </w:rPr>
            </w:pPr>
            <w:r w:rsidRPr="00277988">
              <w:rPr>
                <w:bCs/>
                <w:iCs/>
              </w:rPr>
              <w:t>6.7: Not needed for general WI progress.</w:t>
            </w:r>
          </w:p>
          <w:p w14:paraId="216774C7" w14:textId="77777777" w:rsidR="00275B4E" w:rsidRPr="00455192" w:rsidRDefault="00275B4E" w:rsidP="00455192">
            <w:pPr>
              <w:autoSpaceDE w:val="0"/>
              <w:autoSpaceDN w:val="0"/>
              <w:adjustRightInd w:val="0"/>
              <w:snapToGrid w:val="0"/>
              <w:rPr>
                <w:rFonts w:eastAsia="MS Mincho"/>
                <w:bCs/>
                <w:iCs/>
                <w:lang w:eastAsia="ja-JP"/>
              </w:rPr>
            </w:pPr>
          </w:p>
        </w:tc>
      </w:tr>
    </w:tbl>
    <w:p w14:paraId="5430A276" w14:textId="77777777" w:rsidR="00B3311F" w:rsidRDefault="00B3311F"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a"/>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a"/>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a"/>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afa"/>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afa"/>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afa"/>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a"/>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a"/>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a"/>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a"/>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a"/>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a"/>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a"/>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a"/>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a"/>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afa"/>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afa"/>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a"/>
        <w:numPr>
          <w:ilvl w:val="0"/>
          <w:numId w:val="2"/>
        </w:numPr>
        <w:rPr>
          <w:lang w:val="en-US"/>
        </w:rPr>
      </w:pPr>
      <w:r w:rsidRPr="000D34BC">
        <w:rPr>
          <w:lang w:val="en-US"/>
        </w:rPr>
        <w:lastRenderedPageBreak/>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a"/>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afa"/>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afa"/>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a"/>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a"/>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afa"/>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afa"/>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afa"/>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afa"/>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afa"/>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afa"/>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afa"/>
              <w:numPr>
                <w:ilvl w:val="0"/>
                <w:numId w:val="3"/>
              </w:numPr>
            </w:pPr>
            <w:r>
              <w:t>Proposal 5: The Option-3 and Option-4 may not be suitable in PRACH enhancement.</w:t>
            </w:r>
          </w:p>
          <w:p w14:paraId="5D5F379B" w14:textId="77777777" w:rsidR="000D51A6" w:rsidRDefault="000D51A6" w:rsidP="000D51A6">
            <w:pPr>
              <w:pStyle w:val="afa"/>
              <w:numPr>
                <w:ilvl w:val="0"/>
                <w:numId w:val="3"/>
              </w:numPr>
            </w:pPr>
            <w:r>
              <w:t>Proposal 6: The Option-1 and Option-2 are suitable for PRACH enhancement.</w:t>
            </w:r>
          </w:p>
          <w:p w14:paraId="28E50F86" w14:textId="77777777" w:rsidR="000D51A6" w:rsidRDefault="000D51A6" w:rsidP="000D51A6">
            <w:pPr>
              <w:pStyle w:val="afa"/>
              <w:numPr>
                <w:ilvl w:val="0"/>
                <w:numId w:val="3"/>
              </w:numPr>
            </w:pPr>
            <w:r>
              <w:t xml:space="preserve">Proposal 7: The design of the </w:t>
            </w:r>
            <w:proofErr w:type="gramStart"/>
            <w:r>
              <w:t>roots</w:t>
            </w:r>
            <w:proofErr w:type="gramEnd"/>
            <w:r>
              <w:t xml:space="preserve"> pairs for Option-2 should be further investigated.</w:t>
            </w:r>
          </w:p>
          <w:p w14:paraId="40F0756D" w14:textId="769155D4" w:rsidR="00F4453C" w:rsidRDefault="000D51A6" w:rsidP="000D51A6">
            <w:pPr>
              <w:pStyle w:val="afa"/>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afa"/>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afa"/>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afa"/>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afa"/>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afa"/>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afa"/>
              <w:numPr>
                <w:ilvl w:val="0"/>
                <w:numId w:val="4"/>
              </w:numPr>
              <w:autoSpaceDE w:val="0"/>
              <w:autoSpaceDN w:val="0"/>
              <w:adjustRightInd w:val="0"/>
              <w:snapToGrid w:val="0"/>
              <w:spacing w:after="0"/>
            </w:pPr>
            <w:r>
              <w:lastRenderedPageBreak/>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afa"/>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lastRenderedPageBreak/>
              <w:t>Panasonic</w:t>
            </w:r>
          </w:p>
        </w:tc>
        <w:tc>
          <w:tcPr>
            <w:tcW w:w="8271" w:type="dxa"/>
            <w:shd w:val="clear" w:color="auto" w:fill="auto"/>
            <w:vAlign w:val="center"/>
          </w:tcPr>
          <w:p w14:paraId="3C4D8FCE" w14:textId="61716869" w:rsidR="00784E4F" w:rsidRPr="000309EA" w:rsidRDefault="00784E4F" w:rsidP="00784E4F">
            <w:pPr>
              <w:pStyle w:val="afa"/>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afa"/>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afa"/>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afa"/>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afa"/>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afa"/>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afa"/>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afa"/>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afa"/>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afa"/>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afa"/>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afa"/>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afa"/>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afa"/>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afa"/>
              <w:numPr>
                <w:ilvl w:val="0"/>
                <w:numId w:val="3"/>
              </w:numPr>
            </w:pPr>
            <w:r>
              <w:t>Observation 3: A feeder link switch for a transparent satellite may result in a cell switch.</w:t>
            </w:r>
          </w:p>
          <w:p w14:paraId="359B88A0" w14:textId="77777777" w:rsidR="00EC593B" w:rsidRDefault="00EC593B" w:rsidP="00EC593B">
            <w:pPr>
              <w:pStyle w:val="afa"/>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afa"/>
              <w:numPr>
                <w:ilvl w:val="0"/>
                <w:numId w:val="3"/>
              </w:numPr>
            </w:pPr>
            <w:r>
              <w:t>Observation 5: An NTN UE may be informed about imminent switch events including the resulting transmission gap.</w:t>
            </w:r>
          </w:p>
          <w:p w14:paraId="0DA78D14" w14:textId="77777777" w:rsidR="000A3273" w:rsidRDefault="000A3273" w:rsidP="000A3273">
            <w:pPr>
              <w:pStyle w:val="afa"/>
              <w:numPr>
                <w:ilvl w:val="0"/>
                <w:numId w:val="3"/>
              </w:numPr>
            </w:pPr>
            <w:r>
              <w:lastRenderedPageBreak/>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afa"/>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afa"/>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afa"/>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afa"/>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afa"/>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afa"/>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afa"/>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afa"/>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afa"/>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afa"/>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afa"/>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afa"/>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afa"/>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afa"/>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afa"/>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afa"/>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afa"/>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afa"/>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afa"/>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afa"/>
              <w:numPr>
                <w:ilvl w:val="0"/>
                <w:numId w:val="4"/>
              </w:numPr>
            </w:pPr>
            <w:r>
              <w:t>Observation 4: Soft feeder link switch has less impact to current specification.</w:t>
            </w:r>
          </w:p>
          <w:p w14:paraId="4D5A368F" w14:textId="38170F6A" w:rsidR="005827EF" w:rsidRDefault="005827EF" w:rsidP="005827EF">
            <w:pPr>
              <w:pStyle w:val="afa"/>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afa"/>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afa"/>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afa"/>
              <w:numPr>
                <w:ilvl w:val="0"/>
                <w:numId w:val="3"/>
              </w:numPr>
            </w:pPr>
            <w:r>
              <w:lastRenderedPageBreak/>
              <w:t>Observation 20</w:t>
            </w:r>
            <w:r>
              <w:tab/>
              <w:t>Circular polarization can be used to double the cell capacity</w:t>
            </w:r>
          </w:p>
          <w:p w14:paraId="61BBD3D4" w14:textId="77777777" w:rsidR="00DB518F" w:rsidRDefault="00DB518F" w:rsidP="00DB518F">
            <w:pPr>
              <w:pStyle w:val="afa"/>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afa"/>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afa"/>
              <w:numPr>
                <w:ilvl w:val="0"/>
                <w:numId w:val="3"/>
              </w:numPr>
            </w:pPr>
            <w:r>
              <w:t>Observation 23</w:t>
            </w:r>
            <w:r>
              <w:tab/>
              <w:t>The minimum size of NR beam is the satellite beam’s size</w:t>
            </w:r>
          </w:p>
          <w:p w14:paraId="5255AD4B" w14:textId="77777777" w:rsidR="00DB518F" w:rsidRDefault="00DB518F" w:rsidP="00DB518F">
            <w:pPr>
              <w:pStyle w:val="afa"/>
              <w:numPr>
                <w:ilvl w:val="0"/>
                <w:numId w:val="3"/>
              </w:numPr>
            </w:pPr>
            <w:r>
              <w:t>Observation 24</w:t>
            </w:r>
            <w:r>
              <w:tab/>
              <w:t>Beam management can be beneficial in case of multi-beam moving cell</w:t>
            </w:r>
          </w:p>
          <w:p w14:paraId="3BE60178" w14:textId="77777777" w:rsidR="00DB518F" w:rsidRDefault="00DB518F" w:rsidP="00DB518F">
            <w:pPr>
              <w:pStyle w:val="afa"/>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afa"/>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afa"/>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afa"/>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afa"/>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afa"/>
              <w:numPr>
                <w:ilvl w:val="0"/>
                <w:numId w:val="3"/>
              </w:numPr>
            </w:pPr>
            <w:r>
              <w:t>Proposal 6</w:t>
            </w:r>
            <w:r>
              <w:tab/>
              <w:t>Focus on single-beam cell (option 1) as baseline without beam management</w:t>
            </w:r>
          </w:p>
          <w:p w14:paraId="65067AA9" w14:textId="77777777" w:rsidR="00DB518F" w:rsidRDefault="00DB518F" w:rsidP="00DB518F">
            <w:pPr>
              <w:pStyle w:val="afa"/>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afa"/>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afa"/>
              <w:numPr>
                <w:ilvl w:val="0"/>
                <w:numId w:val="3"/>
              </w:numPr>
            </w:pPr>
            <w:r>
              <w:t>Proposal 9</w:t>
            </w:r>
            <w:r>
              <w:tab/>
              <w:t>Bandwidth part indicator field on DCI should be unchanged</w:t>
            </w:r>
          </w:p>
          <w:p w14:paraId="4B3650DE" w14:textId="0D3729FE" w:rsidR="00F12376" w:rsidRDefault="00DB518F" w:rsidP="00DB518F">
            <w:pPr>
              <w:pStyle w:val="afa"/>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afa"/>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afa"/>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afa"/>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afa"/>
              <w:numPr>
                <w:ilvl w:val="0"/>
                <w:numId w:val="3"/>
              </w:numPr>
            </w:pPr>
            <w:r>
              <w:t>Observation 6: BWP based frequency reuse will negatively impact the supported system capacity.</w:t>
            </w:r>
          </w:p>
          <w:p w14:paraId="2468C0E7" w14:textId="6E6C1FAC" w:rsidR="00F4453C" w:rsidRDefault="00F4453C" w:rsidP="00F4453C">
            <w:pPr>
              <w:pStyle w:val="afa"/>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afa"/>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afa"/>
              <w:numPr>
                <w:ilvl w:val="0"/>
                <w:numId w:val="3"/>
              </w:numPr>
            </w:pPr>
            <w:r>
              <w:lastRenderedPageBreak/>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afa"/>
              <w:numPr>
                <w:ilvl w:val="0"/>
                <w:numId w:val="3"/>
              </w:numPr>
            </w:pPr>
            <w:r>
              <w:t>Proposal 10: NR NTN should support configuration of DL and UL transmit polarization including RHCP and LHCP.</w:t>
            </w:r>
          </w:p>
          <w:p w14:paraId="7BC845BB" w14:textId="16C46330" w:rsidR="00F4453C" w:rsidRDefault="00F4453C" w:rsidP="00F4453C">
            <w:pPr>
              <w:pStyle w:val="afa"/>
              <w:numPr>
                <w:ilvl w:val="0"/>
                <w:numId w:val="3"/>
              </w:numPr>
            </w:pPr>
            <w:r>
              <w:t>Observation 9: In some cases, a UE cannot be expected to reliably detect the used DL polarization.</w:t>
            </w:r>
          </w:p>
          <w:p w14:paraId="4D281BEE" w14:textId="071DE73B" w:rsidR="00F4453C" w:rsidRDefault="00F4453C" w:rsidP="00F4453C">
            <w:pPr>
              <w:pStyle w:val="afa"/>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afa"/>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afa"/>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afa"/>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afa"/>
              <w:numPr>
                <w:ilvl w:val="0"/>
                <w:numId w:val="3"/>
              </w:numPr>
            </w:pPr>
            <w:r>
              <w:t xml:space="preserve">Proposal 1: Promoting the discussion on beam management with high priority.  </w:t>
            </w:r>
          </w:p>
          <w:p w14:paraId="334B5C66" w14:textId="77777777" w:rsidR="000D51A6" w:rsidRDefault="000D51A6" w:rsidP="000D51A6">
            <w:pPr>
              <w:pStyle w:val="afa"/>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afa"/>
              <w:numPr>
                <w:ilvl w:val="0"/>
                <w:numId w:val="3"/>
              </w:numPr>
            </w:pPr>
            <w:r>
              <w:t>Proposal 3: Basic assumption on the UE capability w.r.t the polarization should be clarified.</w:t>
            </w:r>
          </w:p>
          <w:p w14:paraId="1B68A365" w14:textId="2E233D85" w:rsidR="00F4453C" w:rsidRDefault="000D51A6" w:rsidP="000D51A6">
            <w:pPr>
              <w:pStyle w:val="afa"/>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afa"/>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afa"/>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afa"/>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afa"/>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afa"/>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afa"/>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afa"/>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afa"/>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afa"/>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afa"/>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afa"/>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afa"/>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afa"/>
              <w:widowControl w:val="0"/>
              <w:numPr>
                <w:ilvl w:val="0"/>
                <w:numId w:val="12"/>
              </w:numPr>
              <w:jc w:val="both"/>
            </w:pPr>
            <w:r w:rsidRPr="005719E0">
              <w:rPr>
                <w:rFonts w:eastAsia="Calibri"/>
                <w:bCs/>
              </w:rPr>
              <w:lastRenderedPageBreak/>
              <w:t>Proposal 11: Consider synch raster design to reduce initial access time.</w:t>
            </w:r>
            <w:r w:rsidRPr="005719E0">
              <w:t xml:space="preserve"> </w:t>
            </w:r>
          </w:p>
          <w:p w14:paraId="4F683449"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afa"/>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afa"/>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afa"/>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afa"/>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afa"/>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afa"/>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afa"/>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afa"/>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afa"/>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afa"/>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afa"/>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afa"/>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afa"/>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afa"/>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afa"/>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1F1911" w14:textId="61CE98BD" w:rsidR="00BF3F19" w:rsidRDefault="00BF3F19" w:rsidP="00BF3F19">
            <w:pPr>
              <w:pStyle w:val="afa"/>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afa"/>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afa"/>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afa"/>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afa"/>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afa"/>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afa"/>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afa"/>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afa"/>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afa"/>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afa"/>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afa"/>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lastRenderedPageBreak/>
              <w:t>ETRI</w:t>
            </w:r>
          </w:p>
        </w:tc>
        <w:tc>
          <w:tcPr>
            <w:tcW w:w="8271" w:type="dxa"/>
            <w:shd w:val="clear" w:color="auto" w:fill="auto"/>
            <w:vAlign w:val="center"/>
          </w:tcPr>
          <w:p w14:paraId="48EE4C12" w14:textId="77777777" w:rsidR="00F4453C" w:rsidRDefault="00F4453C" w:rsidP="00810AF8">
            <w:pPr>
              <w:pStyle w:val="afa"/>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afa"/>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afa"/>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afa"/>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afa"/>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afa"/>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afa"/>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afa"/>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afa"/>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00ABB94D" w14:textId="77777777" w:rsidR="004F33CC" w:rsidRDefault="004F33CC" w:rsidP="004F33CC">
            <w:pPr>
              <w:pStyle w:val="afa"/>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afa"/>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5F698E36" w14:textId="77777777" w:rsidR="004F33CC" w:rsidRDefault="004F33CC" w:rsidP="004F33CC">
            <w:pPr>
              <w:pStyle w:val="afa"/>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afa"/>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5852F85F" w14:textId="77777777" w:rsidR="004F33CC" w:rsidRDefault="004F33CC" w:rsidP="004F33CC">
            <w:pPr>
              <w:pStyle w:val="afa"/>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020F3BFE" w14:textId="77777777" w:rsidR="004F33CC" w:rsidRDefault="004F33CC" w:rsidP="004F33CC">
            <w:pPr>
              <w:pStyle w:val="afa"/>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afa"/>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afa"/>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afa"/>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0C6AF1A2" w14:textId="77777777" w:rsidR="004F33CC" w:rsidRDefault="004F33CC" w:rsidP="004F33CC">
            <w:pPr>
              <w:pStyle w:val="afa"/>
              <w:numPr>
                <w:ilvl w:val="0"/>
                <w:numId w:val="3"/>
              </w:numPr>
              <w:autoSpaceDE w:val="0"/>
              <w:autoSpaceDN w:val="0"/>
              <w:adjustRightInd w:val="0"/>
              <w:snapToGrid w:val="0"/>
              <w:spacing w:after="0"/>
            </w:pPr>
            <w:r>
              <w:lastRenderedPageBreak/>
              <w:t>Observation 17</w:t>
            </w:r>
            <w:r>
              <w:tab/>
              <w:t>From RAN perspective, all the specified solutions for Earth-fixed cell will be easily portable to Earth-moving cell</w:t>
            </w:r>
          </w:p>
          <w:p w14:paraId="7DC483BA" w14:textId="77777777" w:rsidR="004F33CC" w:rsidRDefault="004F33CC" w:rsidP="004F33CC">
            <w:pPr>
              <w:pStyle w:val="afa"/>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afa"/>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afa"/>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afa"/>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afa"/>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afa"/>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afa"/>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afa"/>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afa"/>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afa"/>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afa"/>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afa"/>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afa"/>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afa"/>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afa"/>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afa"/>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afa"/>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afa"/>
              <w:numPr>
                <w:ilvl w:val="0"/>
                <w:numId w:val="3"/>
              </w:numPr>
            </w:pPr>
            <w:r>
              <w:lastRenderedPageBreak/>
              <w:t>Proposal 10: RAN1 to discuss which GNSS assistance information is available to the NTN UE.</w:t>
            </w:r>
          </w:p>
          <w:p w14:paraId="3AAAED92" w14:textId="77777777" w:rsidR="000A3273" w:rsidRDefault="000A3273" w:rsidP="000A3273">
            <w:pPr>
              <w:pStyle w:val="afa"/>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afa"/>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afa"/>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afa"/>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afa"/>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afa"/>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afa"/>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afa"/>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afa"/>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afa"/>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w:t>
            </w:r>
            <w:proofErr w:type="spellStart"/>
            <w:r w:rsidRPr="009D21EE">
              <w:rPr>
                <w:bCs/>
                <w:iCs/>
              </w:rPr>
              <w:t>gNB</w:t>
            </w:r>
            <w:proofErr w:type="spellEnd"/>
            <w:r w:rsidRPr="009D21EE">
              <w:rPr>
                <w:bCs/>
                <w:iCs/>
              </w:rPr>
              <w:t xml:space="preserve">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afa"/>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afa"/>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afa"/>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afa"/>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afa"/>
              <w:numPr>
                <w:ilvl w:val="0"/>
                <w:numId w:val="4"/>
              </w:numPr>
            </w:pPr>
            <w:r>
              <w:lastRenderedPageBreak/>
              <w:t xml:space="preserve">Proposal </w:t>
            </w:r>
            <w:proofErr w:type="gramStart"/>
            <w:r>
              <w:t>1:</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lastRenderedPageBreak/>
              <w:t>Nomor</w:t>
            </w:r>
            <w:proofErr w:type="spellEnd"/>
          </w:p>
        </w:tc>
        <w:tc>
          <w:tcPr>
            <w:tcW w:w="8271" w:type="dxa"/>
            <w:shd w:val="clear" w:color="auto" w:fill="auto"/>
            <w:vAlign w:val="center"/>
          </w:tcPr>
          <w:p w14:paraId="6FE96DAB" w14:textId="77777777" w:rsidR="009A341F" w:rsidRDefault="009A341F" w:rsidP="009A341F">
            <w:pPr>
              <w:pStyle w:val="afa"/>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afa"/>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afa"/>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afa"/>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afa"/>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1E8B" w14:textId="77777777" w:rsidR="009E7D48" w:rsidRDefault="009E7D48">
      <w:r>
        <w:separator/>
      </w:r>
    </w:p>
  </w:endnote>
  <w:endnote w:type="continuationSeparator" w:id="0">
    <w:p w14:paraId="6EBD4637" w14:textId="77777777" w:rsidR="009E7D48" w:rsidRDefault="009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95D58" w14:textId="77777777" w:rsidR="009E7D48" w:rsidRDefault="009E7D48">
      <w:r>
        <w:separator/>
      </w:r>
    </w:p>
  </w:footnote>
  <w:footnote w:type="continuationSeparator" w:id="0">
    <w:p w14:paraId="45B5C176" w14:textId="77777777" w:rsidR="009E7D48" w:rsidRDefault="009E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1B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B4E"/>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1E70"/>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35D"/>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1E1"/>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48"/>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2F1"/>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5E25"/>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3C9"/>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40FCFE-2E63-434F-A79D-24921D6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목록 단락 字符,列出段落1 字符,中等深浅网格 1 - 着色 21 字符,1st level - Bullet List Paragraph 字符,List Paragraph1 字符,Lettre d'introduction 字符,Paragrafo elenco 字符,Normal bullet 2 字符,Bullet list 字符,Numbered List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88B783-6F1E-4E12-90D7-7A11EA96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33</Pages>
  <Words>13790</Words>
  <Characters>78605</Characters>
  <Application>Microsoft Office Word</Application>
  <DocSecurity>0</DocSecurity>
  <Lines>655</Lines>
  <Paragraphs>184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92211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Hongmei HM6 Liu</cp:lastModifiedBy>
  <cp:revision>2</cp:revision>
  <cp:lastPrinted>2017-11-03T15:53:00Z</cp:lastPrinted>
  <dcterms:created xsi:type="dcterms:W3CDTF">2020-08-20T01:10:00Z</dcterms:created>
  <dcterms:modified xsi:type="dcterms:W3CDTF">2020-08-20T01:10:00Z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