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3A5343DC"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3"/>
        <w:rPr>
          <w:lang w:eastAsia="ko-KR"/>
        </w:rPr>
      </w:pPr>
      <w:bookmarkStart w:id="2" w:name="_Ref481671177"/>
    </w:p>
    <w:p w14:paraId="32AE3603" w14:textId="7A86107A" w:rsidR="004A335C" w:rsidRPr="004A335C" w:rsidRDefault="00A80AA6" w:rsidP="00A80AA6">
      <w:pPr>
        <w:pStyle w:val="1"/>
        <w:rPr>
          <w:lang w:eastAsia="ko-KR"/>
        </w:rPr>
      </w:pPr>
      <w:r>
        <w:rPr>
          <w:lang w:eastAsia="ko-KR"/>
        </w:rPr>
        <w:t>Random Access</w:t>
      </w: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3"/>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3"/>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af3"/>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af3"/>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3"/>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3"/>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af3"/>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687DCF9E" w:rsidR="00EB3945" w:rsidRDefault="00EB3945" w:rsidP="00B203F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2123764B" w:rsidR="00EB3945" w:rsidRDefault="00EB3945" w:rsidP="00B004A7">
            <w:pPr>
              <w:autoSpaceDE w:val="0"/>
              <w:autoSpaceDN w:val="0"/>
              <w:adjustRightInd w:val="0"/>
              <w:snapToGrid w:val="0"/>
            </w:pPr>
          </w:p>
        </w:tc>
      </w:tr>
      <w:tr w:rsidR="00220A8C" w14:paraId="2766D9FC" w14:textId="77777777" w:rsidTr="00B004A7">
        <w:tc>
          <w:tcPr>
            <w:tcW w:w="2335" w:type="dxa"/>
            <w:tcBorders>
              <w:top w:val="single" w:sz="4" w:space="0" w:color="auto"/>
              <w:left w:val="single" w:sz="4" w:space="0" w:color="auto"/>
              <w:bottom w:val="single" w:sz="4" w:space="0" w:color="auto"/>
              <w:right w:val="single" w:sz="4" w:space="0" w:color="auto"/>
            </w:tcBorders>
          </w:tcPr>
          <w:p w14:paraId="6B86D9AE" w14:textId="468E67D1" w:rsidR="00220A8C" w:rsidRPr="002109E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2F59E9B0" w14:textId="3D92DF54" w:rsidR="00220A8C" w:rsidRDefault="00220A8C" w:rsidP="00220A8C">
            <w:pPr>
              <w:autoSpaceDE w:val="0"/>
              <w:autoSpaceDN w:val="0"/>
              <w:adjustRightInd w:val="0"/>
              <w:snapToGrid w:val="0"/>
            </w:pP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33CE0CDB" w14:textId="394A8533" w:rsidR="001F023B" w:rsidRPr="00F838C8" w:rsidRDefault="001F023B" w:rsidP="00810AF8">
      <w:pPr>
        <w:pStyle w:val="afa"/>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02CFFBCA" w14:textId="3E022EE4" w:rsidR="001F023B" w:rsidRPr="00EF0B1A" w:rsidRDefault="001F023B" w:rsidP="00810AF8">
      <w:pPr>
        <w:pStyle w:val="afa"/>
        <w:numPr>
          <w:ilvl w:val="0"/>
          <w:numId w:val="7"/>
        </w:numPr>
        <w:rPr>
          <w:rFonts w:eastAsia="宋体"/>
        </w:rPr>
      </w:pPr>
      <w:r w:rsidRPr="00F838C8">
        <w:rPr>
          <w:rFonts w:eastAsia="宋体"/>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7FFB19C5" w14:textId="7B885C51" w:rsidR="001F023B" w:rsidRDefault="001F023B" w:rsidP="001F023B">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5F188CE8" w14:textId="77777777" w:rsidR="001F023B" w:rsidRPr="00F838C8" w:rsidRDefault="001F023B" w:rsidP="00810AF8">
      <w:pPr>
        <w:pStyle w:val="afa"/>
        <w:numPr>
          <w:ilvl w:val="0"/>
          <w:numId w:val="8"/>
        </w:numPr>
      </w:pPr>
      <w:r w:rsidRPr="00F838C8">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 xml:space="preserve">or a soft feeder link switch scenario, there are no major </w:t>
      </w:r>
      <w:r w:rsidRPr="00E37A6E">
        <w:lastRenderedPageBreak/>
        <w:t>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a"/>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a"/>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a"/>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a"/>
        <w:numPr>
          <w:ilvl w:val="0"/>
          <w:numId w:val="29"/>
        </w:numPr>
      </w:pPr>
      <w:r>
        <w:t>Integrated gNB/Gateway with one feeder links or multiple feeder links</w:t>
      </w:r>
    </w:p>
    <w:p w14:paraId="4AF75152" w14:textId="7CDE0602" w:rsidR="00A80AA6" w:rsidRPr="009B3EFC" w:rsidRDefault="0020270C" w:rsidP="00F37FD7">
      <w:pPr>
        <w:pStyle w:val="afa"/>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af3"/>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lastRenderedPageBreak/>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77777777" w:rsidR="0020270C" w:rsidRPr="00226726" w:rsidRDefault="0020270C" w:rsidP="007C6730">
            <w:pPr>
              <w:autoSpaceDE w:val="0"/>
              <w:autoSpaceDN w:val="0"/>
              <w:adjustRightInd w:val="0"/>
              <w:snapToGrid w:val="0"/>
            </w:pPr>
          </w:p>
        </w:tc>
      </w:tr>
      <w:tr w:rsidR="0020270C"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77777777" w:rsidR="0020270C" w:rsidDel="002960F0" w:rsidRDefault="0020270C" w:rsidP="007C6730">
            <w:pPr>
              <w:autoSpaceDE w:val="0"/>
              <w:autoSpaceDN w:val="0"/>
              <w:adjustRightInd w:val="0"/>
              <w:snapToGrid w:val="0"/>
            </w:pPr>
          </w:p>
        </w:tc>
      </w:tr>
      <w:tr w:rsidR="0020270C"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77777777" w:rsidR="0020270C" w:rsidRPr="007327B0" w:rsidRDefault="0020270C" w:rsidP="007C6730">
            <w:pPr>
              <w:autoSpaceDE w:val="0"/>
              <w:autoSpaceDN w:val="0"/>
              <w:adjustRightInd w:val="0"/>
              <w:snapToGrid w:val="0"/>
            </w:pPr>
          </w:p>
        </w:tc>
      </w:tr>
    </w:tbl>
    <w:p w14:paraId="745F2CBE" w14:textId="77777777" w:rsidR="0020270C" w:rsidRPr="00A80AA6" w:rsidRDefault="0020270C" w:rsidP="00201E04">
      <w:pPr>
        <w:pStyle w:val="af3"/>
        <w:rPr>
          <w:color w:val="000000" w:themeColor="text1"/>
          <w:lang w:eastAsia="ko-KR"/>
        </w:rPr>
      </w:pP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133.7pt" o:ole="">
            <v:imagedata r:id="rId13" o:title=""/>
          </v:shape>
          <o:OLEObject Type="Embed" ProgID="Visio.Drawing.15" ShapeID="_x0000_i1025" DrawAspect="Content" ObjectID="_1659375616"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a"/>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3pt;height:136.95pt" o:ole="">
            <v:imagedata r:id="rId16" o:title=""/>
          </v:shape>
          <o:OLEObject Type="Embed" ProgID="Visio.Drawing.15" ShapeID="_x0000_i1026" DrawAspect="Content" ObjectID="_1659375617" r:id="rId17"/>
        </w:object>
      </w:r>
    </w:p>
    <w:p w14:paraId="3962FEBC" w14:textId="791F9B25" w:rsidR="00A53F58" w:rsidRDefault="00A53F58" w:rsidP="0004180C">
      <w:pPr>
        <w:pStyle w:val="afa"/>
        <w:numPr>
          <w:ilvl w:val="0"/>
          <w:numId w:val="8"/>
        </w:numPr>
        <w:rPr>
          <w:lang w:eastAsia="ko-KR"/>
        </w:rPr>
      </w:pPr>
      <w:r>
        <w:rPr>
          <w:lang w:eastAsia="ko-KR"/>
        </w:rPr>
        <w:t>Support the following SSB arrangements</w:t>
      </w:r>
    </w:p>
    <w:p w14:paraId="25D35714" w14:textId="7AFF4DD2" w:rsidR="00A53F58" w:rsidRDefault="00A53F58" w:rsidP="0004180C">
      <w:pPr>
        <w:pStyle w:val="afa"/>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a"/>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a"/>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a"/>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a"/>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a"/>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a"/>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a"/>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a"/>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a"/>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a"/>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a"/>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afa"/>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a"/>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a"/>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a"/>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a"/>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a"/>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a"/>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afa"/>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a"/>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a"/>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a"/>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3"/>
      </w:pPr>
      <w:r>
        <w:t>Ericsson proposed to discuss the following for beam management [17]</w:t>
      </w:r>
    </w:p>
    <w:p w14:paraId="3CD1CE10" w14:textId="42D4D9A1" w:rsidR="00A569E3" w:rsidRDefault="00863704" w:rsidP="00810AF8">
      <w:pPr>
        <w:pStyle w:val="af3"/>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3"/>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af3"/>
      </w:pPr>
      <w:r>
        <w:lastRenderedPageBreak/>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af3"/>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af3"/>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af3"/>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3"/>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3"/>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af3"/>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3"/>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af3"/>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3"/>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3"/>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A80AA6"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72DA955" w14:textId="77777777" w:rsidR="00A80AA6" w:rsidRPr="00226726" w:rsidRDefault="00A80AA6" w:rsidP="00C2057D">
            <w:pPr>
              <w:autoSpaceDE w:val="0"/>
              <w:autoSpaceDN w:val="0"/>
              <w:adjustRightInd w:val="0"/>
              <w:snapToGrid w:val="0"/>
            </w:pPr>
          </w:p>
        </w:tc>
      </w:tr>
      <w:tr w:rsidR="00A80AA6"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454713" w14:textId="77777777" w:rsidR="00A80AA6" w:rsidDel="002960F0" w:rsidRDefault="00A80AA6" w:rsidP="00C2057D">
            <w:pPr>
              <w:autoSpaceDE w:val="0"/>
              <w:autoSpaceDN w:val="0"/>
              <w:adjustRightInd w:val="0"/>
              <w:snapToGrid w:val="0"/>
            </w:pPr>
          </w:p>
        </w:tc>
      </w:tr>
      <w:tr w:rsidR="00A80AA6"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A80AA6" w:rsidRPr="007327B0" w:rsidRDefault="00A80AA6" w:rsidP="00C2057D">
            <w:pPr>
              <w:autoSpaceDE w:val="0"/>
              <w:autoSpaceDN w:val="0"/>
              <w:adjustRightInd w:val="0"/>
              <w:snapToGrid w:val="0"/>
            </w:pPr>
          </w:p>
        </w:tc>
      </w:tr>
    </w:tbl>
    <w:p w14:paraId="5B3541BD" w14:textId="77777777" w:rsidR="00A80AA6" w:rsidRDefault="00A80AA6" w:rsidP="00A80AA6">
      <w:pPr>
        <w:pStyle w:val="af3"/>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3"/>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3"/>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3"/>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3"/>
      </w:pPr>
    </w:p>
    <w:p w14:paraId="52AA7F50" w14:textId="37B603C2" w:rsidR="004F06AD" w:rsidRDefault="004F06AD" w:rsidP="004F06AD">
      <w:pPr>
        <w:pStyle w:val="af3"/>
      </w:pPr>
      <w:r>
        <w:t>Qualcomm proposed to consider the following [22]:</w:t>
      </w:r>
    </w:p>
    <w:p w14:paraId="6CFE7721" w14:textId="0C2CE8C8" w:rsidR="004F06AD" w:rsidRDefault="004F06AD" w:rsidP="004F06AD">
      <w:pPr>
        <w:pStyle w:val="af3"/>
        <w:numPr>
          <w:ilvl w:val="0"/>
          <w:numId w:val="5"/>
        </w:numPr>
      </w:pPr>
      <w:r>
        <w:t xml:space="preserve">BWP switching schemes to support efficient satellite beam switch. </w:t>
      </w:r>
    </w:p>
    <w:p w14:paraId="0D709F86" w14:textId="419CCECA" w:rsidR="00A97AEE" w:rsidRDefault="004F06AD" w:rsidP="004F06AD">
      <w:pPr>
        <w:pStyle w:val="af3"/>
        <w:numPr>
          <w:ilvl w:val="0"/>
          <w:numId w:val="5"/>
        </w:numPr>
      </w:pPr>
      <w:r>
        <w:t xml:space="preserve">Efficient signalling of BWP configurations.  </w:t>
      </w:r>
    </w:p>
    <w:p w14:paraId="68838ABC" w14:textId="0DA06A6B" w:rsidR="004F06AD" w:rsidRDefault="004F06AD" w:rsidP="004F06AD">
      <w:pPr>
        <w:pStyle w:val="af3"/>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3"/>
        <w:numPr>
          <w:ilvl w:val="0"/>
          <w:numId w:val="5"/>
        </w:numPr>
      </w:pPr>
      <w:r>
        <w:t>S</w:t>
      </w:r>
      <w:r w:rsidRPr="004F06AD">
        <w:t>ynch raster design to reduce initial access time</w:t>
      </w:r>
    </w:p>
    <w:p w14:paraId="7D8EAF44" w14:textId="6570FEED" w:rsidR="004F06AD" w:rsidRDefault="004F06AD" w:rsidP="004F06AD">
      <w:pPr>
        <w:pStyle w:val="af3"/>
        <w:numPr>
          <w:ilvl w:val="0"/>
          <w:numId w:val="5"/>
        </w:numPr>
      </w:pPr>
      <w:r>
        <w:t>D</w:t>
      </w:r>
      <w:r w:rsidRPr="004F06AD">
        <w:t>esigning different SIBs based on the system information updating rate</w:t>
      </w:r>
    </w:p>
    <w:p w14:paraId="50BECA8F" w14:textId="77777777" w:rsidR="00DD0312" w:rsidRDefault="00DD0312" w:rsidP="00DD0312">
      <w:pPr>
        <w:pStyle w:val="af3"/>
      </w:pPr>
    </w:p>
    <w:p w14:paraId="61255495" w14:textId="7366FB2C" w:rsidR="00DD0312" w:rsidRDefault="00DD0312" w:rsidP="00DD0312">
      <w:pPr>
        <w:pStyle w:val="af3"/>
      </w:pPr>
      <w:r>
        <w:t>CATT observed the following enhancements to make BWP based beam switching robust in NTN scenarios could be considered [7]:</w:t>
      </w:r>
    </w:p>
    <w:p w14:paraId="0130B464" w14:textId="1C3BBB52" w:rsidR="00DD0312" w:rsidRDefault="00DD0312" w:rsidP="00DD0312">
      <w:pPr>
        <w:pStyle w:val="af3"/>
        <w:numPr>
          <w:ilvl w:val="0"/>
          <w:numId w:val="18"/>
        </w:numPr>
      </w:pPr>
      <w:r>
        <w:rPr>
          <w:rFonts w:hint="eastAsia"/>
        </w:rPr>
        <w:t>DL BWP and UL BWP should be switched together.</w:t>
      </w:r>
    </w:p>
    <w:p w14:paraId="44851BE5" w14:textId="7153B1D4" w:rsidR="00DD0312" w:rsidRDefault="00DD0312" w:rsidP="00DD0312">
      <w:pPr>
        <w:pStyle w:val="af3"/>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3"/>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3"/>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3"/>
      </w:pPr>
    </w:p>
    <w:p w14:paraId="33AD6F98" w14:textId="7608ADDC" w:rsidR="00142ACE" w:rsidRDefault="002703A5" w:rsidP="00142ACE">
      <w:pPr>
        <w:pStyle w:val="af3"/>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3"/>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3"/>
        <w:numPr>
          <w:ilvl w:val="0"/>
          <w:numId w:val="21"/>
        </w:numPr>
        <w:rPr>
          <w:b/>
          <w:i/>
          <w:lang w:eastAsia="ko-KR"/>
        </w:rPr>
      </w:pPr>
      <w:r w:rsidRPr="00142ACE">
        <w:rPr>
          <w:b/>
          <w:i/>
          <w:lang w:eastAsia="ko-KR"/>
        </w:rPr>
        <w:lastRenderedPageBreak/>
        <w:t xml:space="preserve">Efficient signalling of BWP configurations.  </w:t>
      </w:r>
    </w:p>
    <w:p w14:paraId="49760796" w14:textId="17505F98" w:rsidR="00142ACE" w:rsidRPr="00142ACE" w:rsidRDefault="00142ACE" w:rsidP="00142ACE">
      <w:pPr>
        <w:pStyle w:val="af3"/>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3"/>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3"/>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3"/>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af3"/>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3"/>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F045C2" w14:textId="77777777" w:rsidR="009A7B3C" w:rsidRPr="00226726" w:rsidRDefault="009A7B3C" w:rsidP="00C2057D">
            <w:pPr>
              <w:autoSpaceDE w:val="0"/>
              <w:autoSpaceDN w:val="0"/>
              <w:adjustRightInd w:val="0"/>
              <w:snapToGrid w:val="0"/>
            </w:pPr>
          </w:p>
        </w:tc>
      </w:tr>
      <w:tr w:rsidR="009A7B3C"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77777777" w:rsidR="009A7B3C" w:rsidDel="002960F0" w:rsidRDefault="009A7B3C" w:rsidP="00C2057D">
            <w:pPr>
              <w:autoSpaceDE w:val="0"/>
              <w:autoSpaceDN w:val="0"/>
              <w:adjustRightInd w:val="0"/>
              <w:snapToGrid w:val="0"/>
            </w:pPr>
          </w:p>
        </w:tc>
      </w:tr>
      <w:tr w:rsidR="009A7B3C"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9A7B3C" w:rsidRPr="007327B0" w:rsidRDefault="009A7B3C" w:rsidP="00C2057D">
            <w:pPr>
              <w:autoSpaceDE w:val="0"/>
              <w:autoSpaceDN w:val="0"/>
              <w:adjustRightInd w:val="0"/>
              <w:snapToGrid w:val="0"/>
            </w:pPr>
          </w:p>
        </w:tc>
      </w:tr>
    </w:tbl>
    <w:p w14:paraId="68B9F906" w14:textId="77777777" w:rsidR="00FE08DF"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3"/>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af3"/>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af3"/>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3"/>
      </w:pPr>
      <w:r>
        <w:t xml:space="preserve">Several companies discussed signalling mechanisms for polarisation: </w:t>
      </w:r>
    </w:p>
    <w:p w14:paraId="37A324F8" w14:textId="3FD18BC4" w:rsidR="00FD0649" w:rsidRDefault="00FD0649" w:rsidP="00810AF8">
      <w:pPr>
        <w:pStyle w:val="af3"/>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af3"/>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3"/>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3"/>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af3"/>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3"/>
      </w:pPr>
      <w:r>
        <w:rPr>
          <w:noProof/>
          <w:lang w:val="en-US" w:eastAsia="zh-CN"/>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3"/>
      </w:pPr>
    </w:p>
    <w:p w14:paraId="10588684" w14:textId="7209EDCE" w:rsidR="009A7B3C" w:rsidRDefault="002703A5" w:rsidP="009A7B3C">
      <w:pPr>
        <w:pStyle w:val="af3"/>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3"/>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af3"/>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3"/>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3"/>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3"/>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DC49D10" w14:textId="77777777" w:rsidR="009A7B3C" w:rsidRPr="00226726" w:rsidRDefault="009A7B3C" w:rsidP="00C2057D">
            <w:pPr>
              <w:autoSpaceDE w:val="0"/>
              <w:autoSpaceDN w:val="0"/>
              <w:adjustRightInd w:val="0"/>
              <w:snapToGrid w:val="0"/>
            </w:pPr>
          </w:p>
        </w:tc>
      </w:tr>
      <w:tr w:rsidR="009A7B3C"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94322C" w14:textId="77777777" w:rsidR="009A7B3C" w:rsidDel="002960F0" w:rsidRDefault="009A7B3C" w:rsidP="00C2057D">
            <w:pPr>
              <w:autoSpaceDE w:val="0"/>
              <w:autoSpaceDN w:val="0"/>
              <w:adjustRightInd w:val="0"/>
              <w:snapToGrid w:val="0"/>
            </w:pPr>
          </w:p>
        </w:tc>
      </w:tr>
      <w:tr w:rsidR="009A7B3C"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9A7B3C" w:rsidRPr="007327B0" w:rsidRDefault="009A7B3C" w:rsidP="00C2057D">
            <w:pPr>
              <w:autoSpaceDE w:val="0"/>
              <w:autoSpaceDN w:val="0"/>
              <w:adjustRightInd w:val="0"/>
              <w:snapToGrid w:val="0"/>
            </w:pPr>
          </w:p>
        </w:tc>
      </w:tr>
    </w:tbl>
    <w:p w14:paraId="2B1A7B5F" w14:textId="77777777" w:rsidR="009A7B3C" w:rsidRDefault="009A7B3C"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a"/>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a"/>
        <w:numPr>
          <w:ilvl w:val="0"/>
          <w:numId w:val="27"/>
        </w:numPr>
        <w:rPr>
          <w:lang w:eastAsia="ko-KR"/>
        </w:rPr>
      </w:pPr>
      <w:r>
        <w:rPr>
          <w:lang w:eastAsia="ko-KR"/>
        </w:rPr>
        <w:t>Coexistence between ATG and terrestrial network</w:t>
      </w:r>
    </w:p>
    <w:p w14:paraId="5B328190" w14:textId="77777777" w:rsidR="000E2E4B" w:rsidRDefault="000E2E4B" w:rsidP="000E2E4B">
      <w:pPr>
        <w:pStyle w:val="afa"/>
        <w:numPr>
          <w:ilvl w:val="0"/>
          <w:numId w:val="27"/>
        </w:numPr>
        <w:rPr>
          <w:lang w:eastAsia="ko-KR"/>
        </w:rPr>
      </w:pPr>
      <w:r>
        <w:rPr>
          <w:lang w:eastAsia="ko-KR"/>
        </w:rPr>
        <w:lastRenderedPageBreak/>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3"/>
      </w:pPr>
      <w:r>
        <w:object w:dxaOrig="4260" w:dyaOrig="2749" w14:anchorId="029F80EF">
          <v:shape id="_x0000_i1027" type="#_x0000_t75" style="width:146.8pt;height:94.6pt" o:ole="">
            <v:imagedata r:id="rId22" o:title=""/>
          </v:shape>
          <o:OLEObject Type="Embed" ProgID="Visio.Drawing.15" ShapeID="_x0000_i1027" DrawAspect="Content" ObjectID="_1659375618" r:id="rId23"/>
        </w:object>
      </w:r>
      <w:r>
        <w:object w:dxaOrig="13621" w:dyaOrig="3205" w14:anchorId="3C221396">
          <v:shape id="_x0000_i1028" type="#_x0000_t75" style="width:333.9pt;height:79.4pt" o:ole="">
            <v:imagedata r:id="rId24" o:title=""/>
          </v:shape>
          <o:OLEObject Type="Embed" ProgID="Visio.Drawing.15" ShapeID="_x0000_i1028" DrawAspect="Content" ObjectID="_1659375619" r:id="rId25"/>
        </w:object>
      </w:r>
    </w:p>
    <w:p w14:paraId="713E8925" w14:textId="77777777" w:rsidR="000E2E4B" w:rsidRDefault="000E2E4B" w:rsidP="000E2E4B">
      <w:pPr>
        <w:pStyle w:val="af3"/>
      </w:pPr>
      <w:r>
        <w:t>CMCC discussed ATG in NR TDD in 5 GHz and makes several proposals to support ATG scenario [13]</w:t>
      </w:r>
    </w:p>
    <w:p w14:paraId="072056CB" w14:textId="77777777" w:rsidR="000E2E4B" w:rsidRDefault="000E2E4B" w:rsidP="000E2E4B">
      <w:pPr>
        <w:pStyle w:val="afa"/>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a"/>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a"/>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a"/>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a"/>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a"/>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a"/>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a"/>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a"/>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a"/>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a"/>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a"/>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a"/>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3"/>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af3"/>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w:t>
            </w:r>
            <w:bookmarkStart w:id="3" w:name="_GoBack"/>
            <w:bookmarkEnd w:id="3"/>
            <w:r w:rsidR="005818FC">
              <w:rPr>
                <w:rFonts w:eastAsiaTheme="minorEastAsia"/>
                <w:lang w:eastAsia="zh-CN"/>
              </w:rPr>
              <w:t>nified for both GEO/LEO and ATG scenarios.</w:t>
            </w:r>
          </w:p>
          <w:p w14:paraId="51A00D5A" w14:textId="528B3BD6" w:rsidR="006F105B" w:rsidRDefault="005818FC" w:rsidP="00696E42">
            <w:pPr>
              <w:pStyle w:val="af3"/>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af3"/>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af3"/>
              <w:spacing w:line="256" w:lineRule="auto"/>
              <w:rPr>
                <w:rFonts w:eastAsiaTheme="minorEastAsia"/>
                <w:lang w:eastAsia="zh-CN"/>
              </w:rPr>
            </w:pPr>
          </w:p>
        </w:tc>
      </w:tr>
      <w:tr w:rsidR="000E2E4B"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77777777" w:rsidR="000E2E4B" w:rsidDel="002960F0" w:rsidRDefault="000E2E4B" w:rsidP="007C6730">
            <w:pPr>
              <w:autoSpaceDE w:val="0"/>
              <w:autoSpaceDN w:val="0"/>
              <w:adjustRightInd w:val="0"/>
              <w:snapToGrid w:val="0"/>
            </w:pPr>
          </w:p>
        </w:tc>
      </w:tr>
      <w:tr w:rsidR="000E2E4B"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7C6730">
            <w:pPr>
              <w:autoSpaceDE w:val="0"/>
              <w:autoSpaceDN w:val="0"/>
              <w:adjustRightInd w:val="0"/>
              <w:snapToGrid w:val="0"/>
            </w:pPr>
          </w:p>
        </w:tc>
      </w:tr>
    </w:tbl>
    <w:p w14:paraId="12FB8DBB" w14:textId="77777777" w:rsidR="000E2E4B" w:rsidRDefault="000E2E4B"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3"/>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3"/>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3"/>
      </w:pPr>
      <w:r>
        <w:t xml:space="preserve">Samsung proposed that open loop power control, UE should be allowed to predict its own transmission power not only based on DL measurement, e.g., pathloss measurement but also other available information, such as gNB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af3"/>
      </w:pPr>
      <w:r>
        <w:t>Qualcomm proposed to support autonomous reduction of MCS for PUSCH at least for cases when UE is power limited [22]</w:t>
      </w:r>
    </w:p>
    <w:p w14:paraId="0B03E13E" w14:textId="45F5DF18" w:rsidR="009C65A6" w:rsidRDefault="004F06AD" w:rsidP="004F06AD">
      <w:pPr>
        <w:pStyle w:val="af3"/>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3"/>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3"/>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3"/>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3"/>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3"/>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lastRenderedPageBreak/>
        <w:t>SLS Parameters</w:t>
      </w:r>
    </w:p>
    <w:p w14:paraId="7B678B90" w14:textId="77633353" w:rsidR="00B3311F" w:rsidRPr="00AA12CC" w:rsidRDefault="009A341F" w:rsidP="00B3311F">
      <w:pPr>
        <w:pStyle w:val="af3"/>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3"/>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3"/>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B96C57" w14:textId="77777777" w:rsidR="00B3311F" w:rsidRPr="00226726" w:rsidRDefault="00B3311F" w:rsidP="00C2057D">
            <w:pPr>
              <w:autoSpaceDE w:val="0"/>
              <w:autoSpaceDN w:val="0"/>
              <w:adjustRightInd w:val="0"/>
              <w:snapToGrid w:val="0"/>
            </w:pPr>
          </w:p>
        </w:tc>
      </w:tr>
      <w:tr w:rsidR="00B3311F"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6AA2BB" w14:textId="77777777" w:rsidR="00B3311F" w:rsidDel="002960F0" w:rsidRDefault="00B3311F" w:rsidP="00C2057D">
            <w:pPr>
              <w:autoSpaceDE w:val="0"/>
              <w:autoSpaceDN w:val="0"/>
              <w:adjustRightInd w:val="0"/>
              <w:snapToGrid w:val="0"/>
            </w:pP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a"/>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a"/>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a"/>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a"/>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a"/>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a"/>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a"/>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a"/>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a"/>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a"/>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a"/>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a"/>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a"/>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a"/>
        <w:numPr>
          <w:ilvl w:val="0"/>
          <w:numId w:val="2"/>
        </w:numPr>
        <w:rPr>
          <w:lang w:val="en-US"/>
        </w:rPr>
      </w:pPr>
      <w:r w:rsidRPr="000D34BC">
        <w:rPr>
          <w:lang w:val="en-US"/>
        </w:rPr>
        <w:lastRenderedPageBreak/>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a"/>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a"/>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a"/>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a"/>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a"/>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a"/>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a"/>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a"/>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a"/>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afa"/>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afa"/>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afa"/>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afa"/>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afa"/>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afa"/>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afa"/>
              <w:numPr>
                <w:ilvl w:val="0"/>
                <w:numId w:val="3"/>
              </w:numPr>
            </w:pPr>
            <w:r>
              <w:t>Proposal 5: The Option-3 and Option-4 may not be suitable in PRACH enhancement.</w:t>
            </w:r>
          </w:p>
          <w:p w14:paraId="5D5F379B" w14:textId="77777777" w:rsidR="000D51A6" w:rsidRDefault="000D51A6" w:rsidP="000D51A6">
            <w:pPr>
              <w:pStyle w:val="afa"/>
              <w:numPr>
                <w:ilvl w:val="0"/>
                <w:numId w:val="3"/>
              </w:numPr>
            </w:pPr>
            <w:r>
              <w:t>Proposal 6: The Option-1 and Option-2 are suitable for PRACH enhancement.</w:t>
            </w:r>
          </w:p>
          <w:p w14:paraId="28E50F86" w14:textId="77777777" w:rsidR="000D51A6" w:rsidRDefault="000D51A6" w:rsidP="000D51A6">
            <w:pPr>
              <w:pStyle w:val="afa"/>
              <w:numPr>
                <w:ilvl w:val="0"/>
                <w:numId w:val="3"/>
              </w:numPr>
            </w:pPr>
            <w:r>
              <w:t>Proposal 7: The design of the roots pairs for Option-2 should be further investigated.</w:t>
            </w:r>
          </w:p>
          <w:p w14:paraId="40F0756D" w14:textId="769155D4" w:rsidR="00F4453C" w:rsidRDefault="000D51A6" w:rsidP="000D51A6">
            <w:pPr>
              <w:pStyle w:val="afa"/>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afa"/>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afa"/>
              <w:numPr>
                <w:ilvl w:val="0"/>
                <w:numId w:val="4"/>
              </w:numPr>
              <w:autoSpaceDE w:val="0"/>
              <w:autoSpaceDN w:val="0"/>
              <w:adjustRightInd w:val="0"/>
              <w:snapToGrid w:val="0"/>
              <w:spacing w:after="0"/>
            </w:pPr>
            <w:r>
              <w:lastRenderedPageBreak/>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lastRenderedPageBreak/>
              <w:t>MediaTek</w:t>
            </w:r>
          </w:p>
        </w:tc>
        <w:tc>
          <w:tcPr>
            <w:tcW w:w="8271" w:type="dxa"/>
            <w:shd w:val="clear" w:color="auto" w:fill="auto"/>
            <w:vAlign w:val="center"/>
          </w:tcPr>
          <w:p w14:paraId="73CB970B" w14:textId="77777777" w:rsidR="00077237" w:rsidRDefault="00077237" w:rsidP="00077237">
            <w:pPr>
              <w:pStyle w:val="afa"/>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afa"/>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afa"/>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afa"/>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afa"/>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afa"/>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afa"/>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afa"/>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afa"/>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afa"/>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afa"/>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afa"/>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afa"/>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afa"/>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afa"/>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afa"/>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afa"/>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afa"/>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29AED493" w14:textId="0838D387" w:rsidR="00A80AA6" w:rsidRPr="00E56CA1" w:rsidRDefault="00E56675" w:rsidP="00E56675">
            <w:pPr>
              <w:pStyle w:val="afa"/>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afa"/>
              <w:numPr>
                <w:ilvl w:val="0"/>
                <w:numId w:val="3"/>
              </w:numPr>
            </w:pPr>
            <w:r>
              <w:t>Observation 3: A feeder link switch for a transparent satellite may result in a cell switch.</w:t>
            </w:r>
          </w:p>
          <w:p w14:paraId="359B88A0" w14:textId="77777777" w:rsidR="00EC593B" w:rsidRDefault="00EC593B" w:rsidP="00EC593B">
            <w:pPr>
              <w:pStyle w:val="afa"/>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afa"/>
              <w:numPr>
                <w:ilvl w:val="0"/>
                <w:numId w:val="3"/>
              </w:numPr>
            </w:pPr>
            <w:r>
              <w:t>Observation 5: An NTN UE may be informed about imminent switch events including the resulting transmission gap.</w:t>
            </w:r>
          </w:p>
          <w:p w14:paraId="0DA78D14" w14:textId="77777777" w:rsidR="000A3273" w:rsidRDefault="000A3273" w:rsidP="000A3273">
            <w:pPr>
              <w:pStyle w:val="afa"/>
              <w:numPr>
                <w:ilvl w:val="0"/>
                <w:numId w:val="3"/>
              </w:numPr>
            </w:pPr>
            <w:r>
              <w:t>Proposal 3: RAN1 to define an assumption of the maximum tolerable gNB – NTN-GW delay.</w:t>
            </w:r>
          </w:p>
          <w:p w14:paraId="6FDBF4F4" w14:textId="77777777" w:rsidR="000A3273" w:rsidRDefault="000A3273" w:rsidP="000A3273">
            <w:pPr>
              <w:pStyle w:val="afa"/>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afa"/>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afa"/>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afa"/>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afa"/>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afa"/>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afa"/>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afa"/>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afa"/>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afa"/>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afa"/>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afa"/>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afa"/>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afa"/>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afa"/>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afa"/>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afa"/>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afa"/>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afa"/>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afa"/>
              <w:numPr>
                <w:ilvl w:val="0"/>
                <w:numId w:val="4"/>
              </w:numPr>
            </w:pPr>
            <w:r>
              <w:t>Observation 4: Soft feeder link switch has less impact to current specification.</w:t>
            </w:r>
          </w:p>
          <w:p w14:paraId="4D5A368F" w14:textId="38170F6A" w:rsidR="005827EF" w:rsidRDefault="005827EF" w:rsidP="005827EF">
            <w:pPr>
              <w:pStyle w:val="afa"/>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2"/>
        <w:rPr>
          <w:lang w:eastAsia="ko-KR"/>
        </w:rPr>
      </w:pPr>
      <w:r>
        <w:rPr>
          <w:lang w:eastAsia="ko-KR"/>
        </w:rPr>
        <w:lastRenderedPageBreak/>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afa"/>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afa"/>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afa"/>
              <w:numPr>
                <w:ilvl w:val="0"/>
                <w:numId w:val="3"/>
              </w:numPr>
            </w:pPr>
            <w:r>
              <w:t>Observation 20</w:t>
            </w:r>
            <w:r>
              <w:tab/>
              <w:t>Circular polarization can be used to double the cell capacity</w:t>
            </w:r>
          </w:p>
          <w:p w14:paraId="61BBD3D4" w14:textId="77777777" w:rsidR="00DB518F" w:rsidRDefault="00DB518F" w:rsidP="00DB518F">
            <w:pPr>
              <w:pStyle w:val="afa"/>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afa"/>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afa"/>
              <w:numPr>
                <w:ilvl w:val="0"/>
                <w:numId w:val="3"/>
              </w:numPr>
            </w:pPr>
            <w:r>
              <w:t>Observation 23</w:t>
            </w:r>
            <w:r>
              <w:tab/>
              <w:t>The minimum size of NR beam is the satellite beam’s size</w:t>
            </w:r>
          </w:p>
          <w:p w14:paraId="5255AD4B" w14:textId="77777777" w:rsidR="00DB518F" w:rsidRDefault="00DB518F" w:rsidP="00DB518F">
            <w:pPr>
              <w:pStyle w:val="afa"/>
              <w:numPr>
                <w:ilvl w:val="0"/>
                <w:numId w:val="3"/>
              </w:numPr>
            </w:pPr>
            <w:r>
              <w:t>Observation 24</w:t>
            </w:r>
            <w:r>
              <w:tab/>
              <w:t>Beam management can be beneficial in case of multi-beam moving cell</w:t>
            </w:r>
          </w:p>
          <w:p w14:paraId="3BE60178" w14:textId="77777777" w:rsidR="00DB518F" w:rsidRDefault="00DB518F" w:rsidP="00DB518F">
            <w:pPr>
              <w:pStyle w:val="afa"/>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afa"/>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afa"/>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afa"/>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afa"/>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afa"/>
              <w:numPr>
                <w:ilvl w:val="0"/>
                <w:numId w:val="3"/>
              </w:numPr>
            </w:pPr>
            <w:r>
              <w:t>Proposal 6</w:t>
            </w:r>
            <w:r>
              <w:tab/>
              <w:t>Focus on single-beam cell (option 1) as baseline without beam management</w:t>
            </w:r>
          </w:p>
          <w:p w14:paraId="65067AA9" w14:textId="77777777" w:rsidR="00DB518F" w:rsidRDefault="00DB518F" w:rsidP="00DB518F">
            <w:pPr>
              <w:pStyle w:val="afa"/>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afa"/>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afa"/>
              <w:numPr>
                <w:ilvl w:val="0"/>
                <w:numId w:val="3"/>
              </w:numPr>
            </w:pPr>
            <w:r>
              <w:t>Proposal 9</w:t>
            </w:r>
            <w:r>
              <w:tab/>
              <w:t>Bandwidth part indicator field on DCI should be unchanged</w:t>
            </w:r>
          </w:p>
          <w:p w14:paraId="4B3650DE" w14:textId="0D3729FE" w:rsidR="00F12376" w:rsidRDefault="00DB518F" w:rsidP="00DB518F">
            <w:pPr>
              <w:pStyle w:val="afa"/>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t>Ericsson</w:t>
            </w:r>
          </w:p>
        </w:tc>
        <w:tc>
          <w:tcPr>
            <w:tcW w:w="8271" w:type="dxa"/>
            <w:shd w:val="clear" w:color="auto" w:fill="auto"/>
            <w:vAlign w:val="center"/>
          </w:tcPr>
          <w:p w14:paraId="47ADF051" w14:textId="6FA53C13" w:rsidR="00F4453C" w:rsidRPr="00F4453C" w:rsidRDefault="00F4453C" w:rsidP="00F4453C">
            <w:pPr>
              <w:pStyle w:val="afa"/>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afa"/>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afa"/>
              <w:numPr>
                <w:ilvl w:val="0"/>
                <w:numId w:val="3"/>
              </w:numPr>
            </w:pPr>
            <w:r>
              <w:lastRenderedPageBreak/>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afa"/>
              <w:numPr>
                <w:ilvl w:val="0"/>
                <w:numId w:val="3"/>
              </w:numPr>
            </w:pPr>
            <w:r>
              <w:t>Observation 6: BWP based frequency reuse will negatively impact the supported system capacity.</w:t>
            </w:r>
          </w:p>
          <w:p w14:paraId="2468C0E7" w14:textId="6E6C1FAC" w:rsidR="00F4453C" w:rsidRDefault="00F4453C" w:rsidP="00F4453C">
            <w:pPr>
              <w:pStyle w:val="afa"/>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afa"/>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afa"/>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afa"/>
              <w:numPr>
                <w:ilvl w:val="0"/>
                <w:numId w:val="3"/>
              </w:numPr>
            </w:pPr>
            <w:r>
              <w:t>Proposal 10: NR NTN should support configuration of DL and UL transmit polarization including RHCP and LHCP.</w:t>
            </w:r>
          </w:p>
          <w:p w14:paraId="7BC845BB" w14:textId="16C46330" w:rsidR="00F4453C" w:rsidRDefault="00F4453C" w:rsidP="00F4453C">
            <w:pPr>
              <w:pStyle w:val="afa"/>
              <w:numPr>
                <w:ilvl w:val="0"/>
                <w:numId w:val="3"/>
              </w:numPr>
            </w:pPr>
            <w:r>
              <w:t>Observation 9: In some cases, a UE cannot be expected to reliably detect the used DL polarization.</w:t>
            </w:r>
          </w:p>
          <w:p w14:paraId="4D281BEE" w14:textId="071DE73B" w:rsidR="00F4453C" w:rsidRDefault="00F4453C" w:rsidP="00F4453C">
            <w:pPr>
              <w:pStyle w:val="afa"/>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afa"/>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afa"/>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afa"/>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afa"/>
              <w:numPr>
                <w:ilvl w:val="0"/>
                <w:numId w:val="3"/>
              </w:numPr>
            </w:pPr>
            <w:r>
              <w:t xml:space="preserve">Proposal 1: Promoting the discussion on beam management with high priority.  </w:t>
            </w:r>
          </w:p>
          <w:p w14:paraId="334B5C66" w14:textId="77777777" w:rsidR="000D51A6" w:rsidRDefault="000D51A6" w:rsidP="000D51A6">
            <w:pPr>
              <w:pStyle w:val="afa"/>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afa"/>
              <w:numPr>
                <w:ilvl w:val="0"/>
                <w:numId w:val="3"/>
              </w:numPr>
            </w:pPr>
            <w:r>
              <w:t>Proposal 3: Basic assumption on the UE capability w.r.t the polarization should be clarified.</w:t>
            </w:r>
          </w:p>
          <w:p w14:paraId="1B68A365" w14:textId="2E233D85" w:rsidR="00F4453C" w:rsidRDefault="000D51A6" w:rsidP="000D51A6">
            <w:pPr>
              <w:pStyle w:val="afa"/>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afa"/>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afa"/>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afa"/>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afa"/>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afa"/>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afa"/>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afa"/>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afa"/>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afa"/>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afa"/>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afa"/>
              <w:widowControl w:val="0"/>
              <w:numPr>
                <w:ilvl w:val="1"/>
                <w:numId w:val="12"/>
              </w:numPr>
              <w:spacing w:after="0"/>
              <w:jc w:val="both"/>
              <w:rPr>
                <w:bCs/>
              </w:rPr>
            </w:pPr>
            <w:r w:rsidRPr="005719E0">
              <w:rPr>
                <w:bCs/>
              </w:rPr>
              <w:lastRenderedPageBreak/>
              <w:t xml:space="preserve">Design 2: CORESET#0’s of different satellite beams may have different frequency intervals. </w:t>
            </w:r>
          </w:p>
          <w:p w14:paraId="150F72EF" w14:textId="77777777" w:rsidR="005719E0" w:rsidRPr="005719E0" w:rsidRDefault="005719E0" w:rsidP="005719E0">
            <w:pPr>
              <w:pStyle w:val="afa"/>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afa"/>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afa"/>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afa"/>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afa"/>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afa"/>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afa"/>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afa"/>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afa"/>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afa"/>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afa"/>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afa"/>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afa"/>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afa"/>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afa"/>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afa"/>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afa"/>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afa"/>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afa"/>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afa"/>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afa"/>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afa"/>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afa"/>
              <w:numPr>
                <w:ilvl w:val="0"/>
                <w:numId w:val="4"/>
              </w:numPr>
              <w:autoSpaceDE w:val="0"/>
              <w:autoSpaceDN w:val="0"/>
              <w:adjustRightInd w:val="0"/>
              <w:snapToGrid w:val="0"/>
              <w:spacing w:after="0"/>
            </w:pPr>
            <w:r w:rsidRPr="00784E4F">
              <w:lastRenderedPageBreak/>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afa"/>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lastRenderedPageBreak/>
              <w:t>LG</w:t>
            </w:r>
          </w:p>
        </w:tc>
        <w:tc>
          <w:tcPr>
            <w:tcW w:w="8271" w:type="dxa"/>
            <w:shd w:val="clear" w:color="auto" w:fill="auto"/>
            <w:vAlign w:val="center"/>
          </w:tcPr>
          <w:p w14:paraId="563A24DC" w14:textId="27C002B6" w:rsidR="008E4E0E" w:rsidRDefault="008E4E0E" w:rsidP="008E4E0E">
            <w:pPr>
              <w:pStyle w:val="afa"/>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afa"/>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afa"/>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afa"/>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afa"/>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afa"/>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afa"/>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afa"/>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afa"/>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afa"/>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afa"/>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afa"/>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afa"/>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afa"/>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afa"/>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afa"/>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afa"/>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afa"/>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afa"/>
              <w:numPr>
                <w:ilvl w:val="0"/>
                <w:numId w:val="3"/>
              </w:numPr>
              <w:autoSpaceDE w:val="0"/>
              <w:autoSpaceDN w:val="0"/>
              <w:adjustRightInd w:val="0"/>
              <w:snapToGrid w:val="0"/>
              <w:spacing w:after="0"/>
            </w:pPr>
            <w:r>
              <w:lastRenderedPageBreak/>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afa"/>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afa"/>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afa"/>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afa"/>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afa"/>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afa"/>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afa"/>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afa"/>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afa"/>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afa"/>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afa"/>
              <w:numPr>
                <w:ilvl w:val="0"/>
                <w:numId w:val="3"/>
              </w:numPr>
            </w:pPr>
            <w:r>
              <w:t>Observation 2: The gNB location relative to the NTN-GW may impact the NTN user experience.</w:t>
            </w:r>
          </w:p>
          <w:p w14:paraId="7456D888" w14:textId="77777777" w:rsidR="000A3273" w:rsidRDefault="000A3273" w:rsidP="000A3273">
            <w:pPr>
              <w:pStyle w:val="afa"/>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afa"/>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afa"/>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afa"/>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afa"/>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afa"/>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afa"/>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afa"/>
              <w:numPr>
                <w:ilvl w:val="0"/>
                <w:numId w:val="3"/>
              </w:numPr>
            </w:pPr>
            <w:r>
              <w:lastRenderedPageBreak/>
              <w:t>Observation 10: The precision and lag of the ephemeris data and orbits perturbation may have double effect in transparent scenarios.</w:t>
            </w:r>
          </w:p>
          <w:p w14:paraId="6AA642BB" w14:textId="77777777" w:rsidR="00EC593B" w:rsidRDefault="00EC593B" w:rsidP="00EC593B">
            <w:pPr>
              <w:pStyle w:val="afa"/>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afa"/>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afa"/>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afa"/>
              <w:numPr>
                <w:ilvl w:val="0"/>
                <w:numId w:val="3"/>
              </w:numPr>
            </w:pPr>
            <w:r>
              <w:t>Proposal 10: RAN1 to discuss which GNSS assistance information is available to the NTN UE.</w:t>
            </w:r>
          </w:p>
          <w:p w14:paraId="3AAAED92" w14:textId="77777777" w:rsidR="000A3273" w:rsidRDefault="000A3273" w:rsidP="000A3273">
            <w:pPr>
              <w:pStyle w:val="afa"/>
              <w:numPr>
                <w:ilvl w:val="0"/>
                <w:numId w:val="3"/>
              </w:numPr>
            </w:pPr>
            <w:r>
              <w:t>Proposal 11: RAN1 to define at least one GNSS accuracy model in 3D space and with time varing behaviour.</w:t>
            </w:r>
          </w:p>
          <w:p w14:paraId="463FF2E4" w14:textId="4A68BEF9" w:rsidR="000A3273" w:rsidRDefault="000A3273" w:rsidP="000A3273">
            <w:pPr>
              <w:pStyle w:val="afa"/>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afa"/>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afa"/>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afa"/>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afa"/>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afa"/>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afa"/>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afa"/>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afa"/>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afa"/>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afa"/>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lastRenderedPageBreak/>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afa"/>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afa"/>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afa"/>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afa"/>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afa"/>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afa"/>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afa"/>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afa"/>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2EB56" w14:textId="77777777" w:rsidR="00487562" w:rsidRDefault="00487562">
      <w:r>
        <w:separator/>
      </w:r>
    </w:p>
  </w:endnote>
  <w:endnote w:type="continuationSeparator" w:id="0">
    <w:p w14:paraId="351B8F12" w14:textId="77777777" w:rsidR="00487562" w:rsidRDefault="0048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392B" w14:textId="77777777" w:rsidR="00487562" w:rsidRDefault="00487562">
      <w:r>
        <w:separator/>
      </w:r>
    </w:p>
  </w:footnote>
  <w:footnote w:type="continuationSeparator" w:id="0">
    <w:p w14:paraId="45BECB55" w14:textId="77777777" w:rsidR="00487562" w:rsidRDefault="00487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6"/>
  </w:num>
  <w:num w:numId="6">
    <w:abstractNumId w:val="3"/>
  </w:num>
  <w:num w:numId="7">
    <w:abstractNumId w:val="12"/>
  </w:num>
  <w:num w:numId="8">
    <w:abstractNumId w:val="23"/>
  </w:num>
  <w:num w:numId="9">
    <w:abstractNumId w:val="19"/>
  </w:num>
  <w:num w:numId="10">
    <w:abstractNumId w:val="11"/>
  </w:num>
  <w:num w:numId="11">
    <w:abstractNumId w:val="30"/>
  </w:num>
  <w:num w:numId="12">
    <w:abstractNumId w:val="29"/>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8"/>
  </w:num>
  <w:num w:numId="24">
    <w:abstractNumId w:val="25"/>
  </w:num>
  <w:num w:numId="25">
    <w:abstractNumId w:val="16"/>
  </w:num>
  <w:num w:numId="26">
    <w:abstractNumId w:val="24"/>
  </w:num>
  <w:num w:numId="27">
    <w:abstractNumId w:val="8"/>
  </w:num>
  <w:num w:numId="28">
    <w:abstractNumId w:val="27"/>
  </w:num>
  <w:num w:numId="29">
    <w:abstractNumId w:val="21"/>
  </w:num>
  <w:num w:numId="30">
    <w:abstractNumId w:val="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446"/>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semiHidden/>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link w:val="B2Char"/>
    <w:rsid w:val="00252EB7"/>
  </w:style>
  <w:style w:type="paragraph" w:customStyle="1" w:styleId="B3">
    <w:name w:val="B3"/>
    <w:basedOn w:val="32"/>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Lista1 字符,?? ?? 字符,????? 字符,???? 字符,목록 단락 字符,列出段落1 字符,中等深浅网格 1 - 着色 21 字符,1st level - Bullet List Paragraph 字符,List Paragraph1 字符,Lettre d'introduction 字符,Paragrafo elenco 字符,Normal bullet 2 字符,Bullet list 字符,Numbered List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99BF652-D439-48FC-9235-B683C290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10340</Words>
  <Characters>58942</Characters>
  <Application>Microsoft Office Word</Application>
  <DocSecurity>0</DocSecurity>
  <Lines>491</Lines>
  <Paragraphs>138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69144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Fei Wang</cp:lastModifiedBy>
  <cp:revision>3</cp:revision>
  <cp:lastPrinted>2017-11-03T15:53:00Z</cp:lastPrinted>
  <dcterms:created xsi:type="dcterms:W3CDTF">2020-08-19T12:48:00Z</dcterms:created>
  <dcterms:modified xsi:type="dcterms:W3CDTF">2020-08-19T12:52:00Z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