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7B450025" w:rsidR="00596589" w:rsidRPr="00384191" w:rsidRDefault="00596589" w:rsidP="00B203F7">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2A68384F" w:rsidR="00CE3F5C" w:rsidRPr="00384191" w:rsidRDefault="00CE3F5C" w:rsidP="00187F3E">
            <w:pPr>
              <w:autoSpaceDE w:val="0"/>
              <w:autoSpaceDN w:val="0"/>
              <w:adjustRightInd w:val="0"/>
              <w:snapToGrid w:val="0"/>
              <w:rPr>
                <w:rFonts w:eastAsia="MS Mincho"/>
                <w:lang w:eastAsia="ja-JP"/>
              </w:rPr>
            </w:pP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687DCF9E" w:rsidR="00EB3945" w:rsidRDefault="00EB3945" w:rsidP="00B203F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2123764B" w:rsidR="00EB3945" w:rsidRDefault="00EB3945" w:rsidP="00B004A7">
            <w:pPr>
              <w:autoSpaceDE w:val="0"/>
              <w:autoSpaceDN w:val="0"/>
              <w:adjustRightInd w:val="0"/>
              <w:snapToGrid w:val="0"/>
            </w:pPr>
          </w:p>
        </w:tc>
      </w:tr>
      <w:tr w:rsidR="00220A8C" w14:paraId="2766D9FC" w14:textId="77777777" w:rsidTr="00B004A7">
        <w:tc>
          <w:tcPr>
            <w:tcW w:w="2335" w:type="dxa"/>
            <w:tcBorders>
              <w:top w:val="single" w:sz="4" w:space="0" w:color="auto"/>
              <w:left w:val="single" w:sz="4" w:space="0" w:color="auto"/>
              <w:bottom w:val="single" w:sz="4" w:space="0" w:color="auto"/>
              <w:right w:val="single" w:sz="4" w:space="0" w:color="auto"/>
            </w:tcBorders>
          </w:tcPr>
          <w:p w14:paraId="6B86D9AE" w14:textId="468E67D1" w:rsidR="00220A8C" w:rsidRPr="002109E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2F59E9B0" w14:textId="3D92DF54" w:rsidR="00220A8C" w:rsidRDefault="00220A8C" w:rsidP="00220A8C">
            <w:pPr>
              <w:autoSpaceDE w:val="0"/>
              <w:autoSpaceDN w:val="0"/>
              <w:adjustRightInd w:val="0"/>
              <w:snapToGrid w:val="0"/>
            </w:pP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w:t>
      </w:r>
      <w:r>
        <w:lastRenderedPageBreak/>
        <w:t xml:space="preserve">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C64801">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C648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C64801">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14:paraId="50BE8D7C" w14:textId="77777777" w:rsidTr="00C64801">
        <w:tc>
          <w:tcPr>
            <w:tcW w:w="2335" w:type="dxa"/>
            <w:tcBorders>
              <w:top w:val="single" w:sz="4" w:space="0" w:color="auto"/>
              <w:left w:val="single" w:sz="4" w:space="0" w:color="auto"/>
              <w:bottom w:val="single" w:sz="4" w:space="0" w:color="auto"/>
              <w:right w:val="single" w:sz="4" w:space="0" w:color="auto"/>
            </w:tcBorders>
            <w:vAlign w:val="center"/>
          </w:tcPr>
          <w:p w14:paraId="5C574172" w14:textId="77777777" w:rsidR="0020270C" w:rsidRDefault="0020270C" w:rsidP="00C648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77777777" w:rsidR="0020270C" w:rsidRPr="00CC060F" w:rsidRDefault="0020270C" w:rsidP="00C64801">
            <w:pPr>
              <w:autoSpaceDE w:val="0"/>
              <w:autoSpaceDN w:val="0"/>
              <w:adjustRightInd w:val="0"/>
              <w:snapToGrid w:val="0"/>
              <w:rPr>
                <w:b/>
                <w:i/>
                <w:lang w:eastAsia="ko-KR"/>
              </w:rPr>
            </w:pPr>
          </w:p>
        </w:tc>
      </w:tr>
      <w:tr w:rsidR="0020270C" w14:paraId="3D7CA97E" w14:textId="77777777" w:rsidTr="00C64801">
        <w:tc>
          <w:tcPr>
            <w:tcW w:w="2335" w:type="dxa"/>
            <w:tcBorders>
              <w:top w:val="single" w:sz="4" w:space="0" w:color="auto"/>
              <w:left w:val="single" w:sz="4" w:space="0" w:color="auto"/>
              <w:bottom w:val="single" w:sz="4" w:space="0" w:color="auto"/>
              <w:right w:val="single" w:sz="4" w:space="0" w:color="auto"/>
            </w:tcBorders>
            <w:vAlign w:val="center"/>
          </w:tcPr>
          <w:p w14:paraId="3946A0C5" w14:textId="77777777" w:rsidR="0020270C" w:rsidRDefault="0020270C" w:rsidP="00C648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77777777" w:rsidR="0020270C" w:rsidRPr="00226726" w:rsidRDefault="0020270C" w:rsidP="00C64801">
            <w:pPr>
              <w:autoSpaceDE w:val="0"/>
              <w:autoSpaceDN w:val="0"/>
              <w:adjustRightInd w:val="0"/>
              <w:snapToGrid w:val="0"/>
            </w:pPr>
          </w:p>
        </w:tc>
      </w:tr>
      <w:tr w:rsidR="0020270C" w14:paraId="2867420C" w14:textId="77777777" w:rsidTr="00C64801">
        <w:tc>
          <w:tcPr>
            <w:tcW w:w="2335" w:type="dxa"/>
            <w:tcBorders>
              <w:top w:val="single" w:sz="4" w:space="0" w:color="auto"/>
              <w:left w:val="single" w:sz="4" w:space="0" w:color="auto"/>
              <w:bottom w:val="single" w:sz="4" w:space="0" w:color="auto"/>
              <w:right w:val="single" w:sz="4" w:space="0" w:color="auto"/>
            </w:tcBorders>
            <w:vAlign w:val="center"/>
          </w:tcPr>
          <w:p w14:paraId="727F17C5" w14:textId="77777777" w:rsidR="0020270C" w:rsidRDefault="0020270C" w:rsidP="00C648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77777777" w:rsidR="0020270C" w:rsidDel="002960F0" w:rsidRDefault="0020270C" w:rsidP="00C64801">
            <w:pPr>
              <w:autoSpaceDE w:val="0"/>
              <w:autoSpaceDN w:val="0"/>
              <w:adjustRightInd w:val="0"/>
              <w:snapToGrid w:val="0"/>
            </w:pPr>
          </w:p>
        </w:tc>
      </w:tr>
      <w:tr w:rsidR="0020270C" w14:paraId="61939B64" w14:textId="77777777" w:rsidTr="00C64801">
        <w:tc>
          <w:tcPr>
            <w:tcW w:w="2335" w:type="dxa"/>
            <w:tcBorders>
              <w:top w:val="single" w:sz="4" w:space="0" w:color="auto"/>
              <w:left w:val="single" w:sz="4" w:space="0" w:color="auto"/>
              <w:bottom w:val="single" w:sz="4" w:space="0" w:color="auto"/>
              <w:right w:val="single" w:sz="4" w:space="0" w:color="auto"/>
            </w:tcBorders>
            <w:vAlign w:val="center"/>
          </w:tcPr>
          <w:p w14:paraId="1C5D8EBE" w14:textId="77777777" w:rsidR="0020270C" w:rsidRDefault="0020270C" w:rsidP="00C648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77777777" w:rsidR="0020270C" w:rsidRPr="007327B0" w:rsidRDefault="0020270C" w:rsidP="00C64801">
            <w:pPr>
              <w:autoSpaceDE w:val="0"/>
              <w:autoSpaceDN w:val="0"/>
              <w:adjustRightInd w:val="0"/>
              <w:snapToGrid w:val="0"/>
            </w:pP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35pt;height:133.7pt" o:ole="">
            <v:imagedata r:id="rId13" o:title=""/>
          </v:shape>
          <o:OLEObject Type="Embed" ProgID="Visio.Drawing.15" ShapeID="_x0000_i1025" DrawAspect="Content" ObjectID="_1659021849"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6pt;height:137.45pt" o:ole="">
            <v:imagedata r:id="rId16" o:title=""/>
          </v:shape>
          <o:OLEObject Type="Embed" ProgID="Visio.Drawing.15" ShapeID="_x0000_i1026" DrawAspect="Content" ObjectID="_1659021850"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lastRenderedPageBreak/>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3CF5F24" w14:textId="77777777" w:rsidR="00A80AA6" w:rsidRPr="00CC060F" w:rsidRDefault="00A80AA6" w:rsidP="00C2057D">
            <w:pPr>
              <w:autoSpaceDE w:val="0"/>
              <w:autoSpaceDN w:val="0"/>
              <w:adjustRightInd w:val="0"/>
              <w:snapToGrid w:val="0"/>
              <w:rPr>
                <w:b/>
                <w:i/>
                <w:lang w:eastAsia="ko-KR"/>
              </w:rPr>
            </w:pPr>
          </w:p>
        </w:tc>
      </w:tr>
      <w:tr w:rsidR="00A80AA6"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72DA955" w14:textId="77777777" w:rsidR="00A80AA6" w:rsidRPr="00226726" w:rsidRDefault="00A80AA6" w:rsidP="00C2057D">
            <w:pPr>
              <w:autoSpaceDE w:val="0"/>
              <w:autoSpaceDN w:val="0"/>
              <w:adjustRightInd w:val="0"/>
              <w:snapToGrid w:val="0"/>
            </w:pPr>
          </w:p>
        </w:tc>
      </w:tr>
      <w:tr w:rsidR="00A80AA6"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454713" w14:textId="77777777" w:rsidR="00A80AA6" w:rsidDel="002960F0" w:rsidRDefault="00A80AA6" w:rsidP="00C2057D">
            <w:pPr>
              <w:autoSpaceDE w:val="0"/>
              <w:autoSpaceDN w:val="0"/>
              <w:adjustRightInd w:val="0"/>
              <w:snapToGrid w:val="0"/>
            </w:pPr>
          </w:p>
        </w:tc>
      </w:tr>
      <w:tr w:rsidR="00A80AA6"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A80AA6" w:rsidRPr="007327B0" w:rsidRDefault="00A80AA6" w:rsidP="00C2057D">
            <w:pPr>
              <w:autoSpaceDE w:val="0"/>
              <w:autoSpaceDN w:val="0"/>
              <w:adjustRightInd w:val="0"/>
              <w:snapToGrid w:val="0"/>
            </w:pP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lastRenderedPageBreak/>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lastRenderedPageBreak/>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77777777" w:rsidR="009A7B3C" w:rsidRPr="00CC060F" w:rsidRDefault="009A7B3C" w:rsidP="00C2057D">
            <w:pPr>
              <w:autoSpaceDE w:val="0"/>
              <w:autoSpaceDN w:val="0"/>
              <w:adjustRightInd w:val="0"/>
              <w:snapToGrid w:val="0"/>
              <w:rPr>
                <w:b/>
                <w:i/>
                <w:lang w:eastAsia="ko-KR"/>
              </w:rPr>
            </w:pP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F045C2" w14:textId="77777777" w:rsidR="009A7B3C" w:rsidRPr="00226726" w:rsidRDefault="009A7B3C" w:rsidP="00C2057D">
            <w:pPr>
              <w:autoSpaceDE w:val="0"/>
              <w:autoSpaceDN w:val="0"/>
              <w:adjustRightInd w:val="0"/>
              <w:snapToGrid w:val="0"/>
            </w:pPr>
          </w:p>
        </w:tc>
      </w:tr>
      <w:tr w:rsidR="009A7B3C"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77777777" w:rsidR="009A7B3C" w:rsidDel="002960F0" w:rsidRDefault="009A7B3C" w:rsidP="00C2057D">
            <w:pPr>
              <w:autoSpaceDE w:val="0"/>
              <w:autoSpaceDN w:val="0"/>
              <w:adjustRightInd w:val="0"/>
              <w:snapToGrid w:val="0"/>
            </w:pPr>
          </w:p>
        </w:tc>
      </w:tr>
      <w:tr w:rsidR="009A7B3C"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9A7B3C" w:rsidRPr="007327B0" w:rsidRDefault="009A7B3C" w:rsidP="00C2057D">
            <w:pPr>
              <w:autoSpaceDE w:val="0"/>
              <w:autoSpaceDN w:val="0"/>
              <w:adjustRightInd w:val="0"/>
              <w:snapToGrid w:val="0"/>
            </w:pP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77777777" w:rsidR="009A7B3C" w:rsidRPr="00CC060F" w:rsidRDefault="009A7B3C" w:rsidP="00C2057D">
            <w:pPr>
              <w:autoSpaceDE w:val="0"/>
              <w:autoSpaceDN w:val="0"/>
              <w:adjustRightInd w:val="0"/>
              <w:snapToGrid w:val="0"/>
              <w:rPr>
                <w:b/>
                <w:i/>
                <w:lang w:eastAsia="ko-KR"/>
              </w:rPr>
            </w:pP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DC49D10" w14:textId="77777777" w:rsidR="009A7B3C" w:rsidRPr="00226726" w:rsidRDefault="009A7B3C" w:rsidP="00C2057D">
            <w:pPr>
              <w:autoSpaceDE w:val="0"/>
              <w:autoSpaceDN w:val="0"/>
              <w:adjustRightInd w:val="0"/>
              <w:snapToGrid w:val="0"/>
            </w:pPr>
          </w:p>
        </w:tc>
      </w:tr>
      <w:tr w:rsidR="009A7B3C"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94322C" w14:textId="77777777" w:rsidR="009A7B3C" w:rsidDel="002960F0" w:rsidRDefault="009A7B3C" w:rsidP="00C2057D">
            <w:pPr>
              <w:autoSpaceDE w:val="0"/>
              <w:autoSpaceDN w:val="0"/>
              <w:adjustRightInd w:val="0"/>
              <w:snapToGrid w:val="0"/>
            </w:pPr>
          </w:p>
        </w:tc>
      </w:tr>
      <w:tr w:rsidR="009A7B3C"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9A7B3C" w:rsidRPr="007327B0" w:rsidRDefault="009A7B3C" w:rsidP="00C2057D">
            <w:pPr>
              <w:autoSpaceDE w:val="0"/>
              <w:autoSpaceDN w:val="0"/>
              <w:adjustRightInd w:val="0"/>
              <w:snapToGrid w:val="0"/>
            </w:pP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bookmarkStart w:id="3" w:name="_GoBack"/>
      <w:bookmarkEnd w:id="3"/>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8pt;height:94.45pt" o:ole="">
            <v:imagedata r:id="rId22" o:title=""/>
          </v:shape>
          <o:OLEObject Type="Embed" ProgID="Visio.Drawing.15" ShapeID="_x0000_i1027" DrawAspect="Content" ObjectID="_1659021851" r:id="rId23"/>
        </w:object>
      </w:r>
      <w:r>
        <w:object w:dxaOrig="13621" w:dyaOrig="3205" w14:anchorId="3C221396">
          <v:shape id="_x0000_i1028" type="#_x0000_t75" style="width:333.8pt;height:79pt" o:ole="">
            <v:imagedata r:id="rId24" o:title=""/>
          </v:shape>
          <o:OLEObject Type="Embed" ProgID="Visio.Drawing.15" ShapeID="_x0000_i1028" DrawAspect="Content" ObjectID="_1659021852"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6A4B0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6A4B0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6A4B00">
            <w:pPr>
              <w:jc w:val="center"/>
              <w:rPr>
                <w:b/>
                <w:sz w:val="28"/>
                <w:lang w:eastAsia="zh-CN"/>
              </w:rPr>
            </w:pPr>
            <w:r w:rsidRPr="008D3FED">
              <w:rPr>
                <w:b/>
                <w:sz w:val="22"/>
                <w:lang w:eastAsia="zh-CN"/>
              </w:rPr>
              <w:t>Comments and Views</w:t>
            </w:r>
          </w:p>
        </w:tc>
      </w:tr>
      <w:tr w:rsidR="000E2E4B" w14:paraId="3289D63B" w14:textId="77777777" w:rsidTr="006A4B00">
        <w:tc>
          <w:tcPr>
            <w:tcW w:w="2335" w:type="dxa"/>
            <w:tcBorders>
              <w:top w:val="single" w:sz="4" w:space="0" w:color="auto"/>
              <w:left w:val="single" w:sz="4" w:space="0" w:color="auto"/>
              <w:bottom w:val="single" w:sz="4" w:space="0" w:color="auto"/>
              <w:right w:val="single" w:sz="4" w:space="0" w:color="auto"/>
            </w:tcBorders>
            <w:vAlign w:val="center"/>
          </w:tcPr>
          <w:p w14:paraId="7B558349" w14:textId="77777777" w:rsidR="000E2E4B" w:rsidRDefault="000E2E4B" w:rsidP="006A4B0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77777777" w:rsidR="000E2E4B" w:rsidRPr="00CC060F" w:rsidRDefault="000E2E4B" w:rsidP="006A4B00">
            <w:pPr>
              <w:autoSpaceDE w:val="0"/>
              <w:autoSpaceDN w:val="0"/>
              <w:adjustRightInd w:val="0"/>
              <w:snapToGrid w:val="0"/>
              <w:rPr>
                <w:b/>
                <w:i/>
                <w:lang w:eastAsia="ko-KR"/>
              </w:rPr>
            </w:pPr>
          </w:p>
        </w:tc>
      </w:tr>
      <w:tr w:rsidR="000E2E4B" w14:paraId="44DFB155" w14:textId="77777777" w:rsidTr="006A4B00">
        <w:tc>
          <w:tcPr>
            <w:tcW w:w="2335" w:type="dxa"/>
            <w:tcBorders>
              <w:top w:val="single" w:sz="4" w:space="0" w:color="auto"/>
              <w:left w:val="single" w:sz="4" w:space="0" w:color="auto"/>
              <w:bottom w:val="single" w:sz="4" w:space="0" w:color="auto"/>
              <w:right w:val="single" w:sz="4" w:space="0" w:color="auto"/>
            </w:tcBorders>
            <w:vAlign w:val="center"/>
          </w:tcPr>
          <w:p w14:paraId="6CEC7317" w14:textId="77777777" w:rsidR="000E2E4B" w:rsidRDefault="000E2E4B" w:rsidP="006A4B0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083B82" w14:textId="77777777" w:rsidR="000E2E4B" w:rsidRPr="00226726" w:rsidRDefault="000E2E4B" w:rsidP="006A4B00">
            <w:pPr>
              <w:autoSpaceDE w:val="0"/>
              <w:autoSpaceDN w:val="0"/>
              <w:adjustRightInd w:val="0"/>
              <w:snapToGrid w:val="0"/>
            </w:pPr>
          </w:p>
        </w:tc>
      </w:tr>
      <w:tr w:rsidR="000E2E4B" w14:paraId="2D36053E" w14:textId="77777777" w:rsidTr="006A4B00">
        <w:tc>
          <w:tcPr>
            <w:tcW w:w="2335" w:type="dxa"/>
            <w:tcBorders>
              <w:top w:val="single" w:sz="4" w:space="0" w:color="auto"/>
              <w:left w:val="single" w:sz="4" w:space="0" w:color="auto"/>
              <w:bottom w:val="single" w:sz="4" w:space="0" w:color="auto"/>
              <w:right w:val="single" w:sz="4" w:space="0" w:color="auto"/>
            </w:tcBorders>
            <w:vAlign w:val="center"/>
          </w:tcPr>
          <w:p w14:paraId="54A2F22E" w14:textId="77777777" w:rsidR="000E2E4B" w:rsidRDefault="000E2E4B" w:rsidP="006A4B0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77777777" w:rsidR="000E2E4B" w:rsidDel="002960F0" w:rsidRDefault="000E2E4B" w:rsidP="006A4B00">
            <w:pPr>
              <w:autoSpaceDE w:val="0"/>
              <w:autoSpaceDN w:val="0"/>
              <w:adjustRightInd w:val="0"/>
              <w:snapToGrid w:val="0"/>
            </w:pPr>
          </w:p>
        </w:tc>
      </w:tr>
      <w:tr w:rsidR="000E2E4B" w14:paraId="6B8C574A" w14:textId="77777777" w:rsidTr="006A4B0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6A4B0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6A4B00">
            <w:pPr>
              <w:autoSpaceDE w:val="0"/>
              <w:autoSpaceDN w:val="0"/>
              <w:adjustRightInd w:val="0"/>
              <w:snapToGrid w:val="0"/>
            </w:pP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lastRenderedPageBreak/>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lastRenderedPageBreak/>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D2FA1E" w14:textId="77777777" w:rsidR="00B3311F" w:rsidRPr="00CC060F" w:rsidRDefault="00B3311F" w:rsidP="00C2057D">
            <w:pPr>
              <w:autoSpaceDE w:val="0"/>
              <w:autoSpaceDN w:val="0"/>
              <w:adjustRightInd w:val="0"/>
              <w:snapToGrid w:val="0"/>
              <w:rPr>
                <w:b/>
                <w:i/>
                <w:lang w:eastAsia="ko-KR"/>
              </w:rPr>
            </w:pP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B96C57" w14:textId="77777777" w:rsidR="00B3311F" w:rsidRPr="00226726" w:rsidRDefault="00B3311F" w:rsidP="00C2057D">
            <w:pPr>
              <w:autoSpaceDE w:val="0"/>
              <w:autoSpaceDN w:val="0"/>
              <w:adjustRightInd w:val="0"/>
              <w:snapToGrid w:val="0"/>
            </w:pPr>
          </w:p>
        </w:tc>
      </w:tr>
      <w:tr w:rsidR="00B3311F"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6AA2BB" w14:textId="77777777" w:rsidR="00B3311F" w:rsidDel="002960F0" w:rsidRDefault="00B3311F" w:rsidP="00C2057D">
            <w:pPr>
              <w:autoSpaceDE w:val="0"/>
              <w:autoSpaceDN w:val="0"/>
              <w:adjustRightInd w:val="0"/>
              <w:snapToGrid w:val="0"/>
            </w:pP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lastRenderedPageBreak/>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lastRenderedPageBreak/>
              <w:t xml:space="preserve">Proposal 3: </w:t>
            </w:r>
            <w:r w:rsidRPr="00F4453C">
              <w:t>RAN1 not to deviate from Zadoff-Chu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lastRenderedPageBreak/>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lastRenderedPageBreak/>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lastRenderedPageBreak/>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lastRenderedPageBreak/>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lastRenderedPageBreak/>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lastRenderedPageBreak/>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lastRenderedPageBreak/>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lastRenderedPageBreak/>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lastRenderedPageBreak/>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DEF4C" w14:textId="77777777" w:rsidR="004E3562" w:rsidRDefault="004E3562">
      <w:r>
        <w:separator/>
      </w:r>
    </w:p>
  </w:endnote>
  <w:endnote w:type="continuationSeparator" w:id="0">
    <w:p w14:paraId="76376D9C" w14:textId="77777777" w:rsidR="004E3562" w:rsidRDefault="004E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0FC08" w14:textId="77777777" w:rsidR="004E3562" w:rsidRDefault="004E3562">
      <w:r>
        <w:separator/>
      </w:r>
    </w:p>
  </w:footnote>
  <w:footnote w:type="continuationSeparator" w:id="0">
    <w:p w14:paraId="68077D7D" w14:textId="77777777" w:rsidR="004E3562" w:rsidRDefault="004E3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6"/>
  </w:num>
  <w:num w:numId="6">
    <w:abstractNumId w:val="3"/>
  </w:num>
  <w:num w:numId="7">
    <w:abstractNumId w:val="12"/>
  </w:num>
  <w:num w:numId="8">
    <w:abstractNumId w:val="23"/>
  </w:num>
  <w:num w:numId="9">
    <w:abstractNumId w:val="19"/>
  </w:num>
  <w:num w:numId="10">
    <w:abstractNumId w:val="11"/>
  </w:num>
  <w:num w:numId="11">
    <w:abstractNumId w:val="30"/>
  </w:num>
  <w:num w:numId="12">
    <w:abstractNumId w:val="29"/>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8"/>
  </w:num>
  <w:num w:numId="24">
    <w:abstractNumId w:val="25"/>
  </w:num>
  <w:num w:numId="25">
    <w:abstractNumId w:val="16"/>
  </w:num>
  <w:num w:numId="26">
    <w:abstractNumId w:val="24"/>
  </w:num>
  <w:num w:numId="27">
    <w:abstractNumId w:val="8"/>
  </w:num>
  <w:num w:numId="28">
    <w:abstractNumId w:val="27"/>
  </w:num>
  <w:num w:numId="29">
    <w:abstractNumId w:val="21"/>
  </w:num>
  <w:num w:numId="30">
    <w:abstractNumId w:val="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vsdx"/><Relationship Id="rId25" Type="http://schemas.openxmlformats.org/officeDocument/2006/relationships/package" Target="embeddings/Microsoft_Visio_Drawing4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5A34B-6ED4-48FB-A287-782BD6D1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1472</TotalTime>
  <Pages>24</Pages>
  <Words>10047</Words>
  <Characters>57273</Characters>
  <Application>Microsoft Office Word</Application>
  <DocSecurity>0</DocSecurity>
  <Lines>477</Lines>
  <Paragraphs>134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67186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183</cp:revision>
  <cp:lastPrinted>2017-11-03T15:53:00Z</cp:lastPrinted>
  <dcterms:created xsi:type="dcterms:W3CDTF">2019-11-20T17:21:00Z</dcterms:created>
  <dcterms:modified xsi:type="dcterms:W3CDTF">2020-08-15T17:38:00Z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