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6E2B3D27"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 xml:space="preserve">Enhancement on the PRACH sequence and/or format and extension of the </w:t>
      </w:r>
      <w:proofErr w:type="spellStart"/>
      <w:r w:rsidRPr="000E2E4B">
        <w:rPr>
          <w:i/>
        </w:rPr>
        <w:t>ra-ResponseWindow</w:t>
      </w:r>
      <w:proofErr w:type="spellEnd"/>
      <w:r w:rsidRPr="000E2E4B">
        <w:rPr>
          <w:i/>
        </w:rPr>
        <w:t xml:space="preserve">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w:t>
      </w:r>
      <w:proofErr w:type="gramStart"/>
      <w:r w:rsidRPr="000E2E4B">
        <w:rPr>
          <w:i/>
        </w:rPr>
        <w:t>2,RAN</w:t>
      </w:r>
      <w:proofErr w:type="gramEnd"/>
      <w:r w:rsidRPr="000E2E4B">
        <w:rPr>
          <w:i/>
        </w:rPr>
        <w:t>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50BF17E" w14:textId="77777777" w:rsidR="00F52C68" w:rsidRDefault="00F52C68" w:rsidP="00F52C68">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w:t>
      </w:r>
      <w:proofErr w:type="spellStart"/>
      <w:r>
        <w:rPr>
          <w:lang w:eastAsia="ko-KR"/>
        </w:rPr>
        <w:t>Zadoff</w:t>
      </w:r>
      <w:proofErr w:type="spellEnd"/>
      <w:r>
        <w:rPr>
          <w:lang w:eastAsia="ko-KR"/>
        </w:rPr>
        <w:t xml:space="preserve">-Chu sequence based on larger SCS, repetition number. Additional usage of CP and </w:t>
      </w:r>
      <w:proofErr w:type="spellStart"/>
      <w:r>
        <w:rPr>
          <w:lang w:eastAsia="ko-KR"/>
        </w:rPr>
        <w:t>Ncs</w:t>
      </w:r>
      <w:proofErr w:type="spellEnd"/>
      <w:r>
        <w:rPr>
          <w:lang w:eastAsia="ko-KR"/>
        </w:rPr>
        <w:t xml:space="preserve"> can be further determined in normative work </w:t>
      </w:r>
      <w:r w:rsidR="003A002B">
        <w:rPr>
          <w:lang w:eastAsia="ko-KR"/>
        </w:rPr>
        <w:t xml:space="preserve">ZTE, LG, </w:t>
      </w:r>
      <w:proofErr w:type="spellStart"/>
      <w:r w:rsidR="003A002B">
        <w:rPr>
          <w:lang w:eastAsia="ko-KR"/>
        </w:rPr>
        <w:t>Fraumhofer</w:t>
      </w:r>
      <w:proofErr w:type="spellEnd"/>
    </w:p>
    <w:p w14:paraId="53B0D2D1" w14:textId="6F4F3BA9" w:rsidR="00F52C68" w:rsidRDefault="00F52C68" w:rsidP="00F52C68">
      <w:pPr>
        <w:rPr>
          <w:lang w:eastAsia="ko-KR"/>
        </w:rPr>
      </w:pPr>
      <w:r>
        <w:rPr>
          <w:lang w:eastAsia="ko-KR"/>
        </w:rPr>
        <w:t>•</w:t>
      </w:r>
      <w:r>
        <w:rPr>
          <w:lang w:eastAsia="ko-KR"/>
        </w:rPr>
        <w:tab/>
        <w:t xml:space="preserve">Option 2: A solution based on multiple </w:t>
      </w:r>
      <w:proofErr w:type="spellStart"/>
      <w:r>
        <w:rPr>
          <w:lang w:eastAsia="ko-KR"/>
        </w:rPr>
        <w:t>Zadoff</w:t>
      </w:r>
      <w:proofErr w:type="spellEnd"/>
      <w:r>
        <w:rPr>
          <w:lang w:eastAsia="ko-KR"/>
        </w:rPr>
        <w:t>-Chu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 xml:space="preserve">Option 4: A single </w:t>
      </w:r>
      <w:proofErr w:type="spellStart"/>
      <w:r>
        <w:rPr>
          <w:lang w:eastAsia="ko-KR"/>
        </w:rPr>
        <w:t>Zadoff</w:t>
      </w:r>
      <w:proofErr w:type="spellEnd"/>
      <w:r>
        <w:rPr>
          <w:lang w:eastAsia="ko-KR"/>
        </w:rPr>
        <w:t>-Chu sequence with combination of scrambling sequence.</w:t>
      </w:r>
    </w:p>
    <w:p w14:paraId="5C04D1DC" w14:textId="77777777" w:rsidR="00181CD5" w:rsidRDefault="00181CD5" w:rsidP="00181CD5">
      <w:pPr>
        <w:rPr>
          <w:lang w:eastAsia="ko-KR"/>
        </w:rPr>
      </w:pPr>
      <w:r>
        <w:rPr>
          <w:lang w:eastAsia="ko-KR"/>
        </w:rPr>
        <w:t xml:space="preserve">If RAN1 can determine usefulness of scenarios where a </w:t>
      </w:r>
      <w:proofErr w:type="gramStart"/>
      <w:r>
        <w:rPr>
          <w:lang w:eastAsia="ko-KR"/>
        </w:rPr>
        <w:t>RACH enhancements</w:t>
      </w:r>
      <w:proofErr w:type="gramEnd"/>
      <w:r>
        <w:rPr>
          <w:lang w:eastAsia="ko-KR"/>
        </w:rPr>
        <w:t xml:space="preserve"> will be needed, normative work should aim to minimize impact on specifications, implementation complexity, and testing in device and Network. RAN1 should further discuss and </w:t>
      </w:r>
      <w:proofErr w:type="gramStart"/>
      <w:r>
        <w:rPr>
          <w:lang w:eastAsia="ko-KR"/>
        </w:rPr>
        <w:t>make a decision</w:t>
      </w:r>
      <w:proofErr w:type="gramEnd"/>
      <w:r>
        <w:rPr>
          <w:lang w:eastAsia="ko-KR"/>
        </w:rPr>
        <w:t xml:space="preserve">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ListParagraph"/>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ListParagraph"/>
              <w:numPr>
                <w:ilvl w:val="0"/>
                <w:numId w:val="3"/>
              </w:numPr>
            </w:pPr>
            <w:r>
              <w:t xml:space="preserve">Proposal 3: </w:t>
            </w:r>
            <w:r w:rsidRPr="00F4453C">
              <w:t xml:space="preserve">RAN1 not to deviate from </w:t>
            </w:r>
            <w:proofErr w:type="spellStart"/>
            <w:r w:rsidRPr="00F4453C">
              <w:t>Zadoff</w:t>
            </w:r>
            <w:proofErr w:type="spellEnd"/>
            <w:r w:rsidRPr="00F4453C">
              <w:t>-Chu sequences in enhancing PRACH for NTN.</w:t>
            </w:r>
          </w:p>
          <w:p w14:paraId="192E223D" w14:textId="77777777" w:rsidR="00D05FCF" w:rsidRDefault="00D05FCF" w:rsidP="00594A63">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ListParagraph"/>
              <w:numPr>
                <w:ilvl w:val="0"/>
                <w:numId w:val="3"/>
              </w:numPr>
            </w:pPr>
            <w:r>
              <w:t>Proposal 5: The Option-3 and Option-4 may not be suitable in PRACH enhancement.</w:t>
            </w:r>
          </w:p>
          <w:p w14:paraId="180A56BA" w14:textId="77777777" w:rsidR="00D05FCF" w:rsidRDefault="00D05FCF" w:rsidP="00594A63">
            <w:pPr>
              <w:pStyle w:val="ListParagraph"/>
              <w:numPr>
                <w:ilvl w:val="0"/>
                <w:numId w:val="3"/>
              </w:numPr>
            </w:pPr>
            <w:r>
              <w:t>Proposal 6: The Option-1 and Option-2 are suitable for PRACH enhancement.</w:t>
            </w:r>
          </w:p>
          <w:p w14:paraId="5FADDE02" w14:textId="77777777" w:rsidR="00D05FCF" w:rsidRDefault="00D05FCF" w:rsidP="00594A63">
            <w:pPr>
              <w:pStyle w:val="ListParagraph"/>
              <w:numPr>
                <w:ilvl w:val="0"/>
                <w:numId w:val="3"/>
              </w:numPr>
            </w:pPr>
            <w:r>
              <w:t xml:space="preserve">Proposal 7: The design of the </w:t>
            </w:r>
            <w:proofErr w:type="gramStart"/>
            <w:r>
              <w:t>roots</w:t>
            </w:r>
            <w:proofErr w:type="gramEnd"/>
            <w:r>
              <w:t xml:space="preserve"> pairs for Option-2 should be further investigated.</w:t>
            </w:r>
          </w:p>
          <w:p w14:paraId="2C2AD4A9" w14:textId="77777777" w:rsidR="00D05FCF" w:rsidRDefault="00D05FCF" w:rsidP="00594A63">
            <w:pPr>
              <w:pStyle w:val="ListParagraph"/>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ListParagraph"/>
              <w:numPr>
                <w:ilvl w:val="0"/>
                <w:numId w:val="4"/>
              </w:numPr>
              <w:autoSpaceDE w:val="0"/>
              <w:autoSpaceDN w:val="0"/>
              <w:adjustRightInd w:val="0"/>
              <w:snapToGrid w:val="0"/>
              <w:spacing w:after="0"/>
            </w:pPr>
            <w:r>
              <w:t xml:space="preserve">Observation 7: With assumption of GNSS capability, UE pre-compensation of delay and Doppler is </w:t>
            </w:r>
            <w:proofErr w:type="gramStart"/>
            <w:r>
              <w:t>sufficient</w:t>
            </w:r>
            <w:proofErr w:type="gramEnd"/>
            <w:r>
              <w:t xml:space="preserve"> for NR NTN scenarios with outdoors UE where GPS receiver can be used.</w:t>
            </w:r>
          </w:p>
          <w:p w14:paraId="3FA49C78" w14:textId="77777777" w:rsidR="00D05FCF" w:rsidRDefault="00D05FCF" w:rsidP="00594A63">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w:t>
            </w:r>
            <w:proofErr w:type="gramStart"/>
            <w:r>
              <w:t>sufficient</w:t>
            </w:r>
            <w:proofErr w:type="gramEnd"/>
            <w:r>
              <w:t xml:space="preserve"> for NR ATG scenarios with ATG UE using aircraft GPS receiver.  </w:t>
            </w:r>
          </w:p>
          <w:p w14:paraId="6BCF5734" w14:textId="77777777" w:rsidR="00D05FCF" w:rsidRDefault="00D05FCF" w:rsidP="00594A63">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ListParagraph"/>
              <w:numPr>
                <w:ilvl w:val="0"/>
                <w:numId w:val="4"/>
              </w:numPr>
              <w:autoSpaceDE w:val="0"/>
              <w:autoSpaceDN w:val="0"/>
              <w:adjustRightInd w:val="0"/>
              <w:snapToGrid w:val="0"/>
              <w:spacing w:after="0"/>
            </w:pPr>
            <w:r>
              <w:t xml:space="preserve">Observation 11: Option 2 for new PRACH preamble design based on multiple </w:t>
            </w:r>
            <w:proofErr w:type="spellStart"/>
            <w:r>
              <w:t>Zadoff</w:t>
            </w:r>
            <w:proofErr w:type="spellEnd"/>
            <w:r>
              <w:t>-Chu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ListParagraph"/>
              <w:numPr>
                <w:ilvl w:val="0"/>
                <w:numId w:val="4"/>
              </w:numPr>
              <w:autoSpaceDE w:val="0"/>
              <w:autoSpaceDN w:val="0"/>
              <w:adjustRightInd w:val="0"/>
              <w:snapToGrid w:val="0"/>
              <w:spacing w:after="0"/>
            </w:pPr>
            <w:r w:rsidRPr="000309EA">
              <w:t xml:space="preserve">Proposal 1. If enhanced PRACH formats and/or preamble sequences are necessary and supported in Rel-17 NTN, the option with simple modification, such as a single </w:t>
            </w:r>
            <w:proofErr w:type="spellStart"/>
            <w:r w:rsidRPr="000309EA">
              <w:t>Zadoff</w:t>
            </w:r>
            <w:proofErr w:type="spellEnd"/>
            <w:r w:rsidRPr="000309EA">
              <w:t>-Chu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ListParagraph"/>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Heading2"/>
        <w:rPr>
          <w:lang w:eastAsia="ko-KR"/>
        </w:rPr>
      </w:pPr>
      <w:r>
        <w:rPr>
          <w:lang w:eastAsia="ko-KR"/>
        </w:rPr>
        <w:lastRenderedPageBreak/>
        <w:t>Company Views</w:t>
      </w:r>
    </w:p>
    <w:p w14:paraId="2ADB450E" w14:textId="44EBEDC2" w:rsidR="001C157D" w:rsidRPr="006F072F" w:rsidRDefault="00A80AA6" w:rsidP="00F52C68">
      <w:pPr>
        <w:pStyle w:val="Heading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BodyText"/>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w:t>
      </w:r>
      <w:proofErr w:type="gramStart"/>
      <w:r w:rsidR="009725FD">
        <w:t>sufficient</w:t>
      </w:r>
      <w:proofErr w:type="gramEnd"/>
      <w:r w:rsidR="009725FD">
        <w:t xml:space="preserve">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w:t>
      </w:r>
      <w:proofErr w:type="spellStart"/>
      <w:r>
        <w:t>ms</w:t>
      </w:r>
      <w:proofErr w:type="spellEnd"/>
      <w:r>
        <w:t xml:space="preserve"> and ±11 kHz respectively. </w:t>
      </w:r>
    </w:p>
    <w:p w14:paraId="721C79C8" w14:textId="27904003" w:rsidR="00B018D9" w:rsidRDefault="006137E0" w:rsidP="00506592">
      <w:pPr>
        <w:pStyle w:val="BodyText"/>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BodyText"/>
        <w:rPr>
          <w:b/>
          <w:i/>
          <w:u w:val="single"/>
        </w:rPr>
      </w:pPr>
      <w:r w:rsidRPr="0018280A">
        <w:rPr>
          <w:b/>
          <w:i/>
          <w:u w:val="single"/>
        </w:rPr>
        <w:t xml:space="preserve">Initial proposal#2-1 (Moderator): </w:t>
      </w:r>
    </w:p>
    <w:p w14:paraId="1976667A" w14:textId="0E9A68D8" w:rsidR="005861EE" w:rsidRPr="00B018D9" w:rsidRDefault="005861EE" w:rsidP="005861EE">
      <w:pPr>
        <w:pStyle w:val="BodyText"/>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 xml:space="preserve">Since satellite sources for GNSS and 3GPP NTN systems are not sharing the same deployment, it is important to have solutions to cover situations where UE is out of coverage from GNSS. For such situations we need solutions which </w:t>
            </w:r>
            <w:proofErr w:type="gramStart"/>
            <w:r>
              <w:t>are able to</w:t>
            </w:r>
            <w:proofErr w:type="gramEnd"/>
            <w:r>
              <w:t xml:space="preserve"> address this problem (</w:t>
            </w:r>
            <w:proofErr w:type="spellStart"/>
            <w:r>
              <w:t>gNB</w:t>
            </w:r>
            <w:proofErr w:type="spellEnd"/>
            <w:r>
              <w:t xml:space="preserve">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Header"/>
        <w:tabs>
          <w:tab w:val="left" w:pos="666"/>
        </w:tabs>
        <w:spacing w:after="120"/>
        <w:ind w:right="-57"/>
        <w:jc w:val="both"/>
        <w:rPr>
          <w:b w:val="0"/>
          <w:lang w:eastAsia="ko-KR"/>
        </w:rPr>
      </w:pPr>
    </w:p>
    <w:p w14:paraId="0E650E50" w14:textId="77777777" w:rsidR="0018280A" w:rsidRDefault="0018280A" w:rsidP="0018280A">
      <w:pPr>
        <w:pStyle w:val="Heading3"/>
        <w:rPr>
          <w:lang w:eastAsia="ko-KR"/>
        </w:rPr>
      </w:pPr>
      <w:r>
        <w:rPr>
          <w:lang w:eastAsia="ko-KR"/>
        </w:rPr>
        <w:t>RACH design Options</w:t>
      </w:r>
    </w:p>
    <w:p w14:paraId="55E2C364" w14:textId="77777777" w:rsidR="0018280A" w:rsidRDefault="0018280A" w:rsidP="0018280A">
      <w:pPr>
        <w:pStyle w:val="BodyText"/>
      </w:pPr>
      <w:r>
        <w:t xml:space="preserve">Ericsson, MediaTek, ZTE, LG, Fraunhofer indicated preference not to deviate from </w:t>
      </w:r>
      <w:proofErr w:type="spellStart"/>
      <w:r w:rsidRPr="003A002B">
        <w:t>Zadoff</w:t>
      </w:r>
      <w:proofErr w:type="spellEnd"/>
      <w:r w:rsidRPr="003A002B">
        <w:t>-Chu sequences in PRACH for NTN.</w:t>
      </w:r>
      <w:r>
        <w:t xml:space="preserve"> </w:t>
      </w:r>
    </w:p>
    <w:p w14:paraId="776EB33C" w14:textId="77777777" w:rsidR="0018280A" w:rsidRDefault="0018280A" w:rsidP="0018280A">
      <w:pPr>
        <w:pStyle w:val="BodyText"/>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53EA1668" w14:textId="77777777" w:rsidR="005861EE" w:rsidRDefault="005861EE" w:rsidP="005861EE">
      <w:pPr>
        <w:pStyle w:val="Header"/>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proofErr w:type="gramStart"/>
      <w:r w:rsidRPr="008144BA">
        <w:rPr>
          <w:rFonts w:ascii="Times New Roman" w:hAnsi="Times New Roman" w:cs="Times New Roman"/>
          <w:b w:val="0"/>
          <w:sz w:val="20"/>
        </w:rPr>
        <w:t xml:space="preserve">Ericsson </w:t>
      </w:r>
      <w:r>
        <w:rPr>
          <w:rFonts w:ascii="Times New Roman" w:hAnsi="Times New Roman" w:cs="Times New Roman"/>
          <w:b w:val="0"/>
          <w:sz w:val="20"/>
        </w:rPr>
        <w:t>,</w:t>
      </w:r>
      <w:proofErr w:type="gramEnd"/>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Header"/>
        <w:tabs>
          <w:tab w:val="left" w:pos="666"/>
        </w:tabs>
        <w:spacing w:after="120"/>
        <w:ind w:right="-57"/>
        <w:jc w:val="both"/>
        <w:rPr>
          <w:b w:val="0"/>
          <w:lang w:eastAsia="ko-KR"/>
        </w:rPr>
      </w:pPr>
    </w:p>
    <w:p w14:paraId="749AB533" w14:textId="64FBEE75" w:rsidR="00796E17" w:rsidRDefault="00796E17" w:rsidP="00796E17">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TableGrid"/>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BodyText"/>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BodyText"/>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BodyText"/>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BodyText"/>
              <w:spacing w:line="256" w:lineRule="auto"/>
              <w:rPr>
                <w:rFonts w:cs="Arial"/>
              </w:rPr>
            </w:pPr>
            <w:r>
              <w:rPr>
                <w:rFonts w:cs="Arial"/>
              </w:rPr>
              <w:t xml:space="preserve">Agree as informative guidance for further </w:t>
            </w:r>
            <w:proofErr w:type="spellStart"/>
            <w:r>
              <w:rPr>
                <w:rFonts w:cs="Arial"/>
              </w:rPr>
              <w:t>tdoc</w:t>
            </w:r>
            <w:proofErr w:type="spellEnd"/>
            <w:r>
              <w:rPr>
                <w:rFonts w:cs="Arial"/>
              </w:rPr>
              <w:t xml:space="preserve"> submission.</w:t>
            </w:r>
          </w:p>
        </w:tc>
      </w:tr>
      <w:tr w:rsidR="00FE0768" w14:paraId="45505859" w14:textId="77777777" w:rsidTr="00376D01">
        <w:tc>
          <w:tcPr>
            <w:tcW w:w="1795" w:type="dxa"/>
          </w:tcPr>
          <w:p w14:paraId="7B0CC8A2" w14:textId="0561F0F9" w:rsidR="00FE0768" w:rsidRDefault="001334D8" w:rsidP="00376D01">
            <w:pPr>
              <w:pStyle w:val="BodyText"/>
              <w:spacing w:line="256" w:lineRule="auto"/>
              <w:rPr>
                <w:rFonts w:cs="Arial"/>
              </w:rPr>
            </w:pPr>
            <w:r>
              <w:rPr>
                <w:rFonts w:cs="Arial"/>
              </w:rPr>
              <w:t>SS</w:t>
            </w:r>
          </w:p>
        </w:tc>
        <w:tc>
          <w:tcPr>
            <w:tcW w:w="7834" w:type="dxa"/>
          </w:tcPr>
          <w:p w14:paraId="3479F247" w14:textId="19663C54" w:rsidR="00FE0768" w:rsidRDefault="001334D8" w:rsidP="00376D01">
            <w:pPr>
              <w:pStyle w:val="BodyText"/>
              <w:spacing w:line="256" w:lineRule="auto"/>
              <w:rPr>
                <w:rFonts w:cs="Arial"/>
              </w:rPr>
            </w:pPr>
            <w:r>
              <w:rPr>
                <w:rFonts w:cs="Arial"/>
              </w:rPr>
              <w:t>OK</w:t>
            </w:r>
          </w:p>
        </w:tc>
      </w:tr>
      <w:tr w:rsidR="00FE0768" w14:paraId="636BE866" w14:textId="77777777" w:rsidTr="00376D01">
        <w:tc>
          <w:tcPr>
            <w:tcW w:w="1795" w:type="dxa"/>
          </w:tcPr>
          <w:p w14:paraId="365A1DE8" w14:textId="0FC0D986"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A3A2360" w14:textId="77A72C15"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OK</w:t>
            </w:r>
          </w:p>
        </w:tc>
      </w:tr>
      <w:tr w:rsidR="00FE0768" w14:paraId="1F81A78F" w14:textId="77777777" w:rsidTr="00376D01">
        <w:tc>
          <w:tcPr>
            <w:tcW w:w="1795" w:type="dxa"/>
          </w:tcPr>
          <w:p w14:paraId="3DBF78AE" w14:textId="2180C9C3"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75858D10" w14:textId="6ED21DEA"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FE0768" w14:paraId="5E7E97AF" w14:textId="77777777" w:rsidTr="00376D01">
        <w:tc>
          <w:tcPr>
            <w:tcW w:w="1795" w:type="dxa"/>
          </w:tcPr>
          <w:p w14:paraId="4C05DF75" w14:textId="1236D006" w:rsidR="00FE0768" w:rsidRDefault="0004491C" w:rsidP="00376D01">
            <w:pPr>
              <w:pStyle w:val="BodyText"/>
              <w:spacing w:line="256" w:lineRule="auto"/>
              <w:rPr>
                <w:rFonts w:cs="Arial"/>
              </w:rPr>
            </w:pPr>
            <w:r>
              <w:rPr>
                <w:rFonts w:eastAsia="MS Mincho" w:cs="Arial"/>
                <w:lang w:eastAsia="ja-JP"/>
              </w:rPr>
              <w:t>S</w:t>
            </w:r>
            <w:r w:rsidRPr="0004491C">
              <w:rPr>
                <w:rFonts w:eastAsia="MS Mincho" w:cs="Arial" w:hint="eastAsia"/>
                <w:lang w:eastAsia="ja-JP"/>
              </w:rPr>
              <w:t>ony</w:t>
            </w:r>
          </w:p>
        </w:tc>
        <w:tc>
          <w:tcPr>
            <w:tcW w:w="7834" w:type="dxa"/>
          </w:tcPr>
          <w:p w14:paraId="185A626C" w14:textId="09405C32" w:rsidR="00FE0768" w:rsidRDefault="0004491C" w:rsidP="00376D01">
            <w:pPr>
              <w:pStyle w:val="BodyText"/>
              <w:spacing w:line="256" w:lineRule="auto"/>
              <w:rPr>
                <w:rFonts w:cs="Arial"/>
              </w:rPr>
            </w:pPr>
            <w:r>
              <w:rPr>
                <w:rFonts w:eastAsia="MS Mincho" w:cs="Arial"/>
                <w:lang w:eastAsia="ja-JP"/>
              </w:rPr>
              <w:t>Support proposal#2-1</w:t>
            </w:r>
          </w:p>
        </w:tc>
      </w:tr>
      <w:tr w:rsidR="00C50BCE" w14:paraId="7566A426" w14:textId="77777777" w:rsidTr="00376D01">
        <w:tc>
          <w:tcPr>
            <w:tcW w:w="1795" w:type="dxa"/>
          </w:tcPr>
          <w:p w14:paraId="398DF53C" w14:textId="1A90A264" w:rsidR="00C50BCE" w:rsidRDefault="00C50BCE" w:rsidP="00C50BCE">
            <w:pPr>
              <w:pStyle w:val="BodyText"/>
              <w:spacing w:line="256" w:lineRule="auto"/>
              <w:rPr>
                <w:rFonts w:cs="Arial"/>
              </w:rPr>
            </w:pPr>
            <w:r>
              <w:rPr>
                <w:rFonts w:cs="Arial"/>
              </w:rPr>
              <w:t>Intel</w:t>
            </w:r>
          </w:p>
        </w:tc>
        <w:tc>
          <w:tcPr>
            <w:tcW w:w="7834" w:type="dxa"/>
          </w:tcPr>
          <w:p w14:paraId="1605BE6A" w14:textId="39B2A647" w:rsidR="00C50BCE" w:rsidRDefault="00C50BCE" w:rsidP="00C50BCE">
            <w:pPr>
              <w:pStyle w:val="BodyText"/>
              <w:spacing w:line="256" w:lineRule="auto"/>
              <w:rPr>
                <w:rFonts w:cs="Arial"/>
              </w:rPr>
            </w:pPr>
            <w:r>
              <w:rPr>
                <w:rFonts w:cs="Arial"/>
              </w:rPr>
              <w:t>OK</w:t>
            </w:r>
          </w:p>
        </w:tc>
      </w:tr>
      <w:tr w:rsidR="00C50BCE" w14:paraId="13402D92" w14:textId="77777777" w:rsidTr="00376D01">
        <w:tc>
          <w:tcPr>
            <w:tcW w:w="1795" w:type="dxa"/>
          </w:tcPr>
          <w:p w14:paraId="7DB4361E" w14:textId="6909BC85" w:rsidR="00C50BCE" w:rsidRDefault="00112854" w:rsidP="00C50BCE">
            <w:pPr>
              <w:pStyle w:val="BodyText"/>
              <w:spacing w:line="256" w:lineRule="auto"/>
              <w:rPr>
                <w:rFonts w:cs="Arial"/>
              </w:rPr>
            </w:pPr>
            <w:r>
              <w:rPr>
                <w:rFonts w:cs="Arial"/>
              </w:rPr>
              <w:t xml:space="preserve">Ericsson </w:t>
            </w:r>
          </w:p>
        </w:tc>
        <w:tc>
          <w:tcPr>
            <w:tcW w:w="7834" w:type="dxa"/>
          </w:tcPr>
          <w:p w14:paraId="058D27E5" w14:textId="59F4F9BE" w:rsidR="00C50BCE" w:rsidRDefault="00112854" w:rsidP="00C50BCE">
            <w:pPr>
              <w:pStyle w:val="BodyText"/>
              <w:spacing w:line="256" w:lineRule="auto"/>
              <w:rPr>
                <w:rFonts w:cs="Arial"/>
              </w:rPr>
            </w:pPr>
            <w:r>
              <w:rPr>
                <w:rFonts w:cs="Arial"/>
              </w:rPr>
              <w:t>Agree</w:t>
            </w:r>
          </w:p>
        </w:tc>
      </w:tr>
      <w:tr w:rsidR="00487182" w14:paraId="4D43FC43" w14:textId="77777777" w:rsidTr="00376D01">
        <w:tc>
          <w:tcPr>
            <w:tcW w:w="1795" w:type="dxa"/>
          </w:tcPr>
          <w:p w14:paraId="2021086B" w14:textId="0B3920CB"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E4CA433" w14:textId="29ABCDC2" w:rsidR="00487182" w:rsidRDefault="00487182" w:rsidP="00487182">
            <w:pPr>
              <w:pStyle w:val="BodyText"/>
              <w:spacing w:line="256" w:lineRule="auto"/>
              <w:rPr>
                <w:rFonts w:cs="Arial"/>
              </w:rPr>
            </w:pPr>
            <w:r>
              <w:rPr>
                <w:rFonts w:eastAsia="Malgun Gothic" w:cs="Arial"/>
                <w:lang w:eastAsia="ko-KR"/>
              </w:rPr>
              <w:t>Support</w:t>
            </w:r>
          </w:p>
        </w:tc>
      </w:tr>
      <w:tr w:rsidR="004B2E32" w14:paraId="17C72F67" w14:textId="77777777" w:rsidTr="00376D01">
        <w:tc>
          <w:tcPr>
            <w:tcW w:w="1795" w:type="dxa"/>
          </w:tcPr>
          <w:p w14:paraId="493A6539" w14:textId="4F723452"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604A2701" w14:textId="2B5F3EF9" w:rsidR="004B2E32" w:rsidRDefault="004B2E32" w:rsidP="00487182">
            <w:pPr>
              <w:pStyle w:val="BodyText"/>
              <w:spacing w:line="256" w:lineRule="auto"/>
              <w:rPr>
                <w:rFonts w:eastAsia="Malgun Gothic" w:cs="Arial"/>
                <w:lang w:eastAsia="ko-KR"/>
              </w:rPr>
            </w:pPr>
            <w:r>
              <w:rPr>
                <w:rFonts w:eastAsia="Malgun Gothic" w:cs="Arial" w:hint="eastAsia"/>
                <w:lang w:eastAsia="ko-KR"/>
              </w:rPr>
              <w:t>A</w:t>
            </w:r>
            <w:r>
              <w:rPr>
                <w:rFonts w:eastAsia="Malgun Gothic" w:cs="Arial"/>
                <w:lang w:eastAsia="ko-KR"/>
              </w:rPr>
              <w:t>gree</w:t>
            </w:r>
          </w:p>
        </w:tc>
      </w:tr>
      <w:tr w:rsidR="007D2C8A" w14:paraId="711AAFC1" w14:textId="77777777" w:rsidTr="00376D01">
        <w:tc>
          <w:tcPr>
            <w:tcW w:w="1795" w:type="dxa"/>
          </w:tcPr>
          <w:p w14:paraId="16505F97" w14:textId="06CF4855" w:rsidR="007D2C8A" w:rsidRDefault="007D2C8A"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246FD3BD" w14:textId="59169834" w:rsidR="007D2C8A" w:rsidRDefault="007D2C8A" w:rsidP="00487182">
            <w:pPr>
              <w:pStyle w:val="BodyText"/>
              <w:spacing w:line="256" w:lineRule="auto"/>
              <w:rPr>
                <w:rFonts w:eastAsia="Malgun Gothic" w:cs="Arial"/>
                <w:lang w:eastAsia="ko-KR"/>
              </w:rPr>
            </w:pPr>
            <w:r w:rsidRPr="00177FEB">
              <w:rPr>
                <w:rFonts w:eastAsia="Malgun Gothic" w:cs="Arial"/>
                <w:lang w:eastAsia="ko-KR"/>
              </w:rPr>
              <w:t xml:space="preserve">Agree </w:t>
            </w:r>
          </w:p>
        </w:tc>
      </w:tr>
      <w:tr w:rsidR="005F0449" w14:paraId="22B26004" w14:textId="77777777" w:rsidTr="00376D01">
        <w:tc>
          <w:tcPr>
            <w:tcW w:w="1795" w:type="dxa"/>
          </w:tcPr>
          <w:p w14:paraId="7D35CB23" w14:textId="758D406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13BF0869" w14:textId="6C52D100" w:rsidR="005F0449" w:rsidRPr="00177FEB" w:rsidRDefault="005F0449" w:rsidP="00487182">
            <w:pPr>
              <w:pStyle w:val="BodyText"/>
              <w:spacing w:line="256" w:lineRule="auto"/>
              <w:rPr>
                <w:rFonts w:eastAsia="Malgun Gothic" w:cs="Arial"/>
                <w:lang w:eastAsia="ko-KR"/>
              </w:rPr>
            </w:pPr>
            <w:r>
              <w:rPr>
                <w:rFonts w:eastAsia="Malgun Gothic" w:cs="Arial"/>
                <w:lang w:eastAsia="ko-KR"/>
              </w:rPr>
              <w:t>Agree</w:t>
            </w:r>
          </w:p>
        </w:tc>
      </w:tr>
      <w:tr w:rsidR="00D40647" w14:paraId="0DFE11DE" w14:textId="77777777" w:rsidTr="00376D01">
        <w:tc>
          <w:tcPr>
            <w:tcW w:w="1795" w:type="dxa"/>
          </w:tcPr>
          <w:p w14:paraId="0C073129" w14:textId="0B2CF358" w:rsidR="00D40647" w:rsidRDefault="00D40647" w:rsidP="00487182">
            <w:pPr>
              <w:pStyle w:val="BodyText"/>
              <w:spacing w:line="256" w:lineRule="auto"/>
              <w:rPr>
                <w:rFonts w:eastAsia="Malgun Gothic" w:cs="Arial"/>
                <w:lang w:eastAsia="ko-KR"/>
              </w:rPr>
            </w:pPr>
            <w:r>
              <w:rPr>
                <w:rFonts w:eastAsia="Malgun Gothic" w:cs="Arial"/>
                <w:lang w:eastAsia="ko-KR"/>
              </w:rPr>
              <w:t>QC</w:t>
            </w:r>
          </w:p>
        </w:tc>
        <w:tc>
          <w:tcPr>
            <w:tcW w:w="7834" w:type="dxa"/>
          </w:tcPr>
          <w:p w14:paraId="0AF5AD17" w14:textId="6277626B" w:rsidR="00D40647" w:rsidRDefault="00D40647" w:rsidP="00487182">
            <w:pPr>
              <w:pStyle w:val="BodyText"/>
              <w:spacing w:line="256" w:lineRule="auto"/>
              <w:rPr>
                <w:rFonts w:eastAsia="Malgun Gothic" w:cs="Arial"/>
                <w:lang w:eastAsia="ko-KR"/>
              </w:rPr>
            </w:pPr>
            <w:r>
              <w:rPr>
                <w:rFonts w:eastAsia="Malgun Gothic" w:cs="Arial"/>
                <w:lang w:eastAsia="ko-KR"/>
              </w:rPr>
              <w:t>Agree</w:t>
            </w:r>
          </w:p>
        </w:tc>
      </w:tr>
      <w:tr w:rsidR="0010607A" w14:paraId="147B5803" w14:textId="77777777" w:rsidTr="00376D01">
        <w:tc>
          <w:tcPr>
            <w:tcW w:w="1795" w:type="dxa"/>
          </w:tcPr>
          <w:p w14:paraId="2E1AFA5E" w14:textId="5AEC2216"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5C03AFC7" w14:textId="2FE48C45" w:rsidR="0010607A" w:rsidRDefault="0010607A" w:rsidP="00487182">
            <w:pPr>
              <w:pStyle w:val="BodyText"/>
              <w:spacing w:line="256" w:lineRule="auto"/>
              <w:rPr>
                <w:rFonts w:eastAsia="Malgun Gothic" w:cs="Arial"/>
                <w:lang w:eastAsia="ko-KR"/>
              </w:rPr>
            </w:pPr>
            <w:r>
              <w:rPr>
                <w:rFonts w:eastAsia="Malgun Gothic" w:cs="Arial"/>
                <w:lang w:eastAsia="ko-KR"/>
              </w:rPr>
              <w:t>Agree</w:t>
            </w:r>
          </w:p>
        </w:tc>
      </w:tr>
      <w:tr w:rsidR="000D7774" w14:paraId="0929AE7E" w14:textId="77777777" w:rsidTr="00376D01">
        <w:tc>
          <w:tcPr>
            <w:tcW w:w="1795" w:type="dxa"/>
          </w:tcPr>
          <w:p w14:paraId="11D513A6" w14:textId="48449A52" w:rsidR="000D7774" w:rsidRDefault="000D7774" w:rsidP="000D7774">
            <w:pPr>
              <w:pStyle w:val="BodyText"/>
              <w:spacing w:line="256" w:lineRule="auto"/>
              <w:rPr>
                <w:rFonts w:eastAsia="Malgun Gothic" w:cs="Arial"/>
                <w:lang w:eastAsia="ko-KR"/>
              </w:rPr>
            </w:pPr>
            <w:r>
              <w:rPr>
                <w:rFonts w:eastAsia="Malgun Gothic" w:cs="Arial"/>
                <w:lang w:eastAsia="ko-KR"/>
              </w:rPr>
              <w:t>Nokia</w:t>
            </w:r>
          </w:p>
        </w:tc>
        <w:tc>
          <w:tcPr>
            <w:tcW w:w="7834" w:type="dxa"/>
          </w:tcPr>
          <w:p w14:paraId="365F82CC" w14:textId="0AE11D80" w:rsidR="000D7774" w:rsidRDefault="000D7774" w:rsidP="000D7774">
            <w:pPr>
              <w:pStyle w:val="BodyText"/>
              <w:spacing w:line="256" w:lineRule="auto"/>
              <w:rPr>
                <w:rFonts w:eastAsia="Malgun Gothic" w:cs="Arial"/>
                <w:lang w:eastAsia="ko-KR"/>
              </w:rPr>
            </w:pPr>
            <w:r>
              <w:rPr>
                <w:rFonts w:eastAsia="Malgun Gothic" w:cs="Arial"/>
                <w:lang w:eastAsia="ko-KR"/>
              </w:rPr>
              <w:t>Agree</w:t>
            </w:r>
          </w:p>
        </w:tc>
      </w:tr>
    </w:tbl>
    <w:p w14:paraId="66C18596" w14:textId="77777777" w:rsidR="001F20F3" w:rsidRPr="00796E17" w:rsidRDefault="001F20F3" w:rsidP="00796E17">
      <w:pPr>
        <w:rPr>
          <w:lang w:val="en-US"/>
        </w:rPr>
      </w:pPr>
    </w:p>
    <w:p w14:paraId="42BE415E" w14:textId="77777777" w:rsidR="00796E17" w:rsidRDefault="00796E17" w:rsidP="00796E17">
      <w:pPr>
        <w:pStyle w:val="Heading2"/>
        <w:rPr>
          <w:lang w:eastAsia="ko-KR"/>
        </w:rPr>
      </w:pPr>
      <w:r w:rsidRPr="00003493">
        <w:rPr>
          <w:lang w:eastAsia="ko-KR"/>
        </w:rPr>
        <w:t>Updated proposal based on company views (2nd round of email discussion)</w:t>
      </w:r>
    </w:p>
    <w:p w14:paraId="17DE9682" w14:textId="77777777" w:rsidR="00796E17" w:rsidRPr="00A80AA6" w:rsidRDefault="00796E17" w:rsidP="00796E17">
      <w:pPr>
        <w:pStyle w:val="BodyText"/>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 xml:space="preserve">ransparent LEO, Architecture Option 1, different </w:t>
      </w:r>
      <w:proofErr w:type="spellStart"/>
      <w:r w:rsidRPr="00F838C8">
        <w:rPr>
          <w:rFonts w:eastAsia="SimSun"/>
        </w:rPr>
        <w:t>gNBs</w:t>
      </w:r>
      <w:proofErr w:type="spellEnd"/>
      <w:r>
        <w:rPr>
          <w:rFonts w:eastAsia="SimSun"/>
        </w:rPr>
        <w:t>”</w:t>
      </w:r>
      <w:r w:rsidRPr="00F838C8">
        <w:rPr>
          <w:rFonts w:eastAsia="SimSun"/>
        </w:rPr>
        <w:t xml:space="preserve"> [3, section 8.7.1.1.1]:</w:t>
      </w:r>
    </w:p>
    <w:p w14:paraId="265BD783" w14:textId="77777777" w:rsidR="00003493" w:rsidRPr="00F838C8" w:rsidRDefault="00003493" w:rsidP="00003493">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2C677E9A" w14:textId="77777777" w:rsidR="00003493" w:rsidRPr="00EF0B1A" w:rsidRDefault="00003493" w:rsidP="00003493">
      <w:pPr>
        <w:pStyle w:val="ListParagraph"/>
        <w:numPr>
          <w:ilvl w:val="0"/>
          <w:numId w:val="7"/>
        </w:numPr>
        <w:rPr>
          <w:rFonts w:eastAsia="SimSun"/>
        </w:rPr>
      </w:pPr>
      <w:r w:rsidRPr="00F838C8">
        <w:rPr>
          <w:rFonts w:eastAsia="SimSun"/>
        </w:rPr>
        <w:t xml:space="preserve">Switching based on conditional RRC re-establishment: the </w:t>
      </w:r>
      <w:r w:rsidRPr="00F838C8">
        <w:t xml:space="preserve">network to </w:t>
      </w:r>
      <w:proofErr w:type="gramStart"/>
      <w:r w:rsidRPr="00F838C8">
        <w:t>provide assistance</w:t>
      </w:r>
      <w:proofErr w:type="gramEnd"/>
      <w:r w:rsidRPr="00F838C8">
        <w:t xml:space="preserv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1970B4C3" w14:textId="77777777" w:rsidR="00003493" w:rsidRDefault="00003493" w:rsidP="00003493">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w:t>
      </w:r>
      <w:proofErr w:type="spellStart"/>
      <w:r w:rsidRPr="00F838C8">
        <w:t>gNB</w:t>
      </w:r>
      <w:proofErr w:type="spellEnd"/>
      <w:r w:rsidRPr="00F838C8">
        <w:t xml:space="preserve"> [3, section 8.7.1.1.1]. </w:t>
      </w:r>
    </w:p>
    <w:p w14:paraId="13D35603" w14:textId="77777777" w:rsidR="00003493" w:rsidRPr="00F838C8" w:rsidRDefault="00003493" w:rsidP="00003493">
      <w:pPr>
        <w:pStyle w:val="ListParagraph"/>
        <w:numPr>
          <w:ilvl w:val="0"/>
          <w:numId w:val="8"/>
        </w:numPr>
      </w:pPr>
      <w:r w:rsidRPr="00F838C8">
        <w:lastRenderedPageBreak/>
        <w:t xml:space="preserve">The </w:t>
      </w:r>
      <w:r w:rsidRPr="00373D27">
        <w:rPr>
          <w:rFonts w:eastAsia="SimSun"/>
        </w:rPr>
        <w:t xml:space="preserve">transparent satellite is served before and after the feeder link switch by the same </w:t>
      </w:r>
      <w:proofErr w:type="spellStart"/>
      <w:r w:rsidRPr="00373D27">
        <w:rPr>
          <w:rFonts w:eastAsia="SimSun"/>
        </w:rPr>
        <w:t>gNB</w:t>
      </w:r>
      <w:proofErr w:type="spellEnd"/>
      <w:r w:rsidRPr="00373D27">
        <w:rPr>
          <w:rFonts w:eastAsia="SimSun"/>
        </w:rPr>
        <w:t xml:space="preserve">. Both feeder links are connected to the same </w:t>
      </w:r>
      <w:proofErr w:type="spellStart"/>
      <w:r w:rsidRPr="00373D27">
        <w:rPr>
          <w:rFonts w:eastAsia="SimSun"/>
        </w:rPr>
        <w:t>gNB</w:t>
      </w:r>
      <w:proofErr w:type="spellEnd"/>
      <w:r w:rsidRPr="00373D27">
        <w:rPr>
          <w:rFonts w:eastAsia="SimSun"/>
        </w:rPr>
        <w:t xml:space="preserve">, but through different NTN-GWs. </w:t>
      </w:r>
      <w:r>
        <w:rPr>
          <w:rFonts w:eastAsia="SimSun"/>
        </w:rPr>
        <w:t>With</w:t>
      </w:r>
      <w:r w:rsidRPr="00373D27">
        <w:rPr>
          <w:rFonts w:eastAsia="SimSun"/>
        </w:rPr>
        <w:t xml:space="preserve"> two feeder link connections serving via the same satellite during the transition, the </w:t>
      </w:r>
      <w:proofErr w:type="spellStart"/>
      <w:r w:rsidRPr="00373D27">
        <w:rPr>
          <w:rFonts w:eastAsia="SimSun"/>
        </w:rPr>
        <w:t>gNB</w:t>
      </w:r>
      <w:proofErr w:type="spellEnd"/>
      <w:r w:rsidRPr="00373D27">
        <w:rPr>
          <w:rFonts w:eastAsia="SimSun"/>
        </w:rPr>
        <w:t xml:space="preserve"> can transmit the DL reference signals without interruption to keep the cell "alive". There may be no need of a HO if the security keys of </w:t>
      </w:r>
      <w:proofErr w:type="spellStart"/>
      <w:r w:rsidRPr="00373D27">
        <w:rPr>
          <w:rFonts w:eastAsia="SimSun"/>
        </w:rPr>
        <w:t>gNB</w:t>
      </w:r>
      <w:proofErr w:type="spellEnd"/>
      <w:r w:rsidRPr="00373D27">
        <w:rPr>
          <w:rFonts w:eastAsia="SimSun"/>
        </w:rPr>
        <w:t xml:space="preserve"> can be kept in the UE. Re-configuration of </w:t>
      </w:r>
      <w:proofErr w:type="spellStart"/>
      <w:r w:rsidRPr="00373D27">
        <w:rPr>
          <w:rFonts w:eastAsia="SimSun"/>
        </w:rPr>
        <w:t>gNB</w:t>
      </w:r>
      <w:proofErr w:type="spellEnd"/>
      <w:r w:rsidRPr="00373D27">
        <w:rPr>
          <w:rFonts w:eastAsia="SimSun"/>
        </w:rPr>
        <w:t xml:space="preserve"> may be avoided if the same configuration is used before and after the switch. The switchover relies on the temporary overlap of cells from the </w:t>
      </w:r>
      <w:proofErr w:type="spellStart"/>
      <w:r w:rsidRPr="00373D27">
        <w:rPr>
          <w:rFonts w:eastAsia="SimSun"/>
        </w:rPr>
        <w:t>gNBs</w:t>
      </w:r>
      <w:proofErr w:type="spellEnd"/>
      <w:r w:rsidRPr="00373D27">
        <w:rPr>
          <w:rFonts w:eastAsia="SimSun"/>
        </w:rPr>
        <w:t xml:space="preserve">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ListParagraph"/>
              <w:numPr>
                <w:ilvl w:val="0"/>
                <w:numId w:val="3"/>
              </w:numPr>
            </w:pPr>
            <w:r>
              <w:t>Observation 4: Satellites typically have the capability to connect to multiple gateways by using multiple antennas.</w:t>
            </w:r>
          </w:p>
          <w:p w14:paraId="2490630F" w14:textId="2644C49C" w:rsidR="00D05FCF" w:rsidRDefault="00762611" w:rsidP="00594A63">
            <w:pPr>
              <w:pStyle w:val="ListParagraph"/>
              <w:numPr>
                <w:ilvl w:val="0"/>
                <w:numId w:val="3"/>
              </w:numPr>
            </w:pPr>
            <w:r>
              <w:t xml:space="preserve">Observation </w:t>
            </w:r>
            <w:r w:rsidR="00D05FCF">
              <w:t xml:space="preserve">5: For feeder link switch, the </w:t>
            </w:r>
            <w:proofErr w:type="spellStart"/>
            <w:r w:rsidR="00D05FCF">
              <w:t>validness</w:t>
            </w:r>
            <w:proofErr w:type="spellEnd"/>
            <w:r w:rsidR="00D05FCF">
              <w:t xml:space="preserve"> of the scenario where the same </w:t>
            </w:r>
            <w:proofErr w:type="spellStart"/>
            <w:r w:rsidR="00D05FCF">
              <w:t>gNB</w:t>
            </w:r>
            <w:proofErr w:type="spellEnd"/>
            <w:r w:rsidR="00D05FCF">
              <w:t xml:space="preserve"> is connected to multiple satellite gateways is questionable. In contrast, the feeder link switch involving different </w:t>
            </w:r>
            <w:proofErr w:type="spellStart"/>
            <w:r w:rsidR="00D05FCF">
              <w:t>gNB’s</w:t>
            </w:r>
            <w:proofErr w:type="spellEnd"/>
            <w:r w:rsidR="00D05FCF">
              <w:t xml:space="preserve"> before and after the switch is more typical.</w:t>
            </w:r>
          </w:p>
          <w:p w14:paraId="5234F7F0" w14:textId="77777777" w:rsidR="00D05FCF" w:rsidRDefault="00D05FCF" w:rsidP="00594A63">
            <w:pPr>
              <w:pStyle w:val="ListParagraph"/>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ListParagraph"/>
              <w:numPr>
                <w:ilvl w:val="0"/>
                <w:numId w:val="3"/>
              </w:numPr>
            </w:pPr>
            <w:r>
              <w:t xml:space="preserve">Proposal 5: It is up to RAN2 to discuss if the feeder link switch involving same </w:t>
            </w:r>
            <w:proofErr w:type="spellStart"/>
            <w:r>
              <w:t>gNB</w:t>
            </w:r>
            <w:proofErr w:type="spellEnd"/>
            <w:r>
              <w:t xml:space="preserve">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t>Huawei</w:t>
            </w:r>
          </w:p>
        </w:tc>
        <w:tc>
          <w:tcPr>
            <w:tcW w:w="8271" w:type="dxa"/>
            <w:shd w:val="clear" w:color="auto" w:fill="auto"/>
            <w:vAlign w:val="center"/>
          </w:tcPr>
          <w:p w14:paraId="4B42F630"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ListParagraph"/>
              <w:numPr>
                <w:ilvl w:val="0"/>
                <w:numId w:val="3"/>
              </w:numPr>
            </w:pPr>
            <w:r>
              <w:t>Observation 3: A feeder link switch for a transparent satellite may result in a cell switch.</w:t>
            </w:r>
          </w:p>
          <w:p w14:paraId="18F2B6BF" w14:textId="77777777" w:rsidR="00D05FCF" w:rsidRDefault="00D05FCF" w:rsidP="00594A63">
            <w:pPr>
              <w:pStyle w:val="ListParagraph"/>
              <w:numPr>
                <w:ilvl w:val="0"/>
                <w:numId w:val="3"/>
              </w:numPr>
            </w:pPr>
            <w:r>
              <w:t xml:space="preserve">Observation 4: A </w:t>
            </w:r>
            <w:proofErr w:type="spellStart"/>
            <w:r>
              <w:t>gNB</w:t>
            </w:r>
            <w:proofErr w:type="spellEnd"/>
            <w:r>
              <w:t xml:space="preserve"> may switch links of the </w:t>
            </w:r>
            <w:proofErr w:type="spellStart"/>
            <w:r>
              <w:t>Uu</w:t>
            </w:r>
            <w:proofErr w:type="spellEnd"/>
            <w:r>
              <w:t xml:space="preserve"> interface from one satellite and feeder link to another satellite and feeder link, originating from the same NTN-GW.</w:t>
            </w:r>
          </w:p>
          <w:p w14:paraId="3259822C" w14:textId="77777777" w:rsidR="00D05FCF" w:rsidRDefault="00D05FCF" w:rsidP="00594A63">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594A63">
            <w:pPr>
              <w:pStyle w:val="ListParagraph"/>
              <w:numPr>
                <w:ilvl w:val="0"/>
                <w:numId w:val="3"/>
              </w:numPr>
            </w:pPr>
            <w:r>
              <w:t xml:space="preserve">Proposal 3: RAN1 to define an assumption of the maximum tolerable </w:t>
            </w:r>
            <w:proofErr w:type="spellStart"/>
            <w:r>
              <w:t>gNB</w:t>
            </w:r>
            <w:proofErr w:type="spellEnd"/>
            <w:r>
              <w:t xml:space="preserve"> – NTN-GW delay.</w:t>
            </w:r>
          </w:p>
          <w:p w14:paraId="6DCDE022" w14:textId="77777777" w:rsidR="00D05FCF" w:rsidRDefault="00D05FCF" w:rsidP="00594A63">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ListParagraph"/>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ListParagraph"/>
              <w:numPr>
                <w:ilvl w:val="1"/>
                <w:numId w:val="4"/>
              </w:numPr>
              <w:autoSpaceDE w:val="0"/>
              <w:autoSpaceDN w:val="0"/>
              <w:adjustRightInd w:val="0"/>
              <w:snapToGrid w:val="0"/>
              <w:spacing w:after="0"/>
            </w:pPr>
            <w:proofErr w:type="spellStart"/>
            <w:r>
              <w:t>gNB</w:t>
            </w:r>
            <w:proofErr w:type="spellEnd"/>
            <w:r>
              <w:t xml:space="preserve"> indication of feeder link delay drift</w:t>
            </w:r>
          </w:p>
          <w:p w14:paraId="75125A8A" w14:textId="77777777" w:rsidR="00D05FCF" w:rsidRDefault="00D05FCF" w:rsidP="00594A63">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ListParagraph"/>
              <w:numPr>
                <w:ilvl w:val="1"/>
                <w:numId w:val="4"/>
              </w:numPr>
              <w:autoSpaceDE w:val="0"/>
              <w:autoSpaceDN w:val="0"/>
              <w:adjustRightInd w:val="0"/>
              <w:snapToGrid w:val="0"/>
              <w:spacing w:after="0"/>
            </w:pPr>
            <w:r>
              <w:t xml:space="preserve">PRACH parameters configuration need to be extended to support massive user handover, including </w:t>
            </w:r>
            <w:proofErr w:type="spellStart"/>
            <w:r>
              <w:t>ssb</w:t>
            </w:r>
            <w:proofErr w:type="spellEnd"/>
            <w:r>
              <w:t>-</w:t>
            </w:r>
            <w:proofErr w:type="spellStart"/>
            <w:r>
              <w:t>perRACH</w:t>
            </w:r>
            <w:proofErr w:type="spellEnd"/>
            <w:r>
              <w:t>-Occasion,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lastRenderedPageBreak/>
              <w:t>Interdigital</w:t>
            </w:r>
          </w:p>
        </w:tc>
        <w:tc>
          <w:tcPr>
            <w:tcW w:w="8271" w:type="dxa"/>
            <w:shd w:val="clear" w:color="auto" w:fill="auto"/>
            <w:vAlign w:val="center"/>
          </w:tcPr>
          <w:p w14:paraId="7230A868" w14:textId="77777777" w:rsidR="00D05FCF" w:rsidRDefault="00D05FCF" w:rsidP="00594A63">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ListParagraph"/>
              <w:numPr>
                <w:ilvl w:val="0"/>
                <w:numId w:val="4"/>
              </w:numPr>
            </w:pPr>
            <w:r w:rsidRPr="005827EF">
              <w:t xml:space="preserve">Observation 2: Synchronizing UEs to perform HO without collision introduces complexity and additional signalling in the HO command. </w:t>
            </w:r>
            <w:proofErr w:type="gramStart"/>
            <w:r w:rsidRPr="005827EF">
              <w:t>Providing assistance</w:t>
            </w:r>
            <w:proofErr w:type="gramEnd"/>
            <w:r w:rsidRPr="005827EF">
              <w:t xml:space="preserve"> data to aid RRC re-establishment may assume a land-based connection between source and target </w:t>
            </w:r>
            <w:proofErr w:type="spellStart"/>
            <w:r w:rsidRPr="005827EF">
              <w:t>gNBs</w:t>
            </w:r>
            <w:proofErr w:type="spellEnd"/>
            <w:r w:rsidRPr="005827EF">
              <w:t>, which cannot be guaranteed.</w:t>
            </w:r>
          </w:p>
          <w:p w14:paraId="1D6A8FAE" w14:textId="77777777" w:rsidR="00D05FCF" w:rsidRDefault="00D05FCF" w:rsidP="00594A63">
            <w:pPr>
              <w:pStyle w:val="ListParagraph"/>
              <w:numPr>
                <w:ilvl w:val="0"/>
                <w:numId w:val="4"/>
              </w:numPr>
            </w:pPr>
            <w:r>
              <w:t xml:space="preserve">Observation 3: Soft feeder link switch can support unique PCIs for cells from the source and target </w:t>
            </w:r>
            <w:proofErr w:type="spellStart"/>
            <w:r>
              <w:t>gNBs</w:t>
            </w:r>
            <w:proofErr w:type="spellEnd"/>
            <w:r>
              <w:t xml:space="preserve"> to be simultaneously relayed through the same satellite. The UE can distinguish the cells by different synchronization raster points for CD-SSBs.</w:t>
            </w:r>
          </w:p>
          <w:p w14:paraId="1C16CC7F" w14:textId="77777777" w:rsidR="00D05FCF" w:rsidRDefault="00D05FCF" w:rsidP="00594A63">
            <w:pPr>
              <w:pStyle w:val="ListParagraph"/>
              <w:numPr>
                <w:ilvl w:val="0"/>
                <w:numId w:val="4"/>
              </w:numPr>
            </w:pPr>
            <w:r>
              <w:t>Observation 4: Soft feeder link switch has less impact to current specification.</w:t>
            </w:r>
          </w:p>
          <w:p w14:paraId="31AFE626" w14:textId="77777777" w:rsidR="00D05FCF" w:rsidRDefault="00D05FCF" w:rsidP="00594A63">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Heading2"/>
      </w:pPr>
      <w:r>
        <w:t>Company Views</w:t>
      </w:r>
    </w:p>
    <w:p w14:paraId="4977E498" w14:textId="77777777" w:rsidR="00003493" w:rsidRDefault="00003493" w:rsidP="00003493">
      <w:pPr>
        <w:pStyle w:val="Heading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 xml:space="preserve">The satellite supports simultaneous transmissions of both </w:t>
      </w:r>
      <w:proofErr w:type="spellStart"/>
      <w:r w:rsidRPr="00E37A6E">
        <w:t>gNB’s</w:t>
      </w:r>
      <w:proofErr w:type="spellEnd"/>
      <w:r w:rsidRPr="00E37A6E">
        <w:t xml:space="preserve">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w:t>
      </w:r>
      <w:proofErr w:type="spellStart"/>
      <w:r>
        <w:t>gNB</w:t>
      </w:r>
      <w:proofErr w:type="spellEnd"/>
      <w:r>
        <w:t xml:space="preserve">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proofErr w:type="spellStart"/>
      <w:r>
        <w:t>InterDigital</w:t>
      </w:r>
      <w:proofErr w:type="spellEnd"/>
      <w:r>
        <w:t xml:space="preserve"> observed that s</w:t>
      </w:r>
      <w:r w:rsidRPr="005827EF">
        <w:t xml:space="preserve">oft feeder link switch can support unique PCIs for cells from the source and target </w:t>
      </w:r>
      <w:proofErr w:type="spellStart"/>
      <w:r w:rsidRPr="005827EF">
        <w:t>gNBs</w:t>
      </w:r>
      <w:proofErr w:type="spellEnd"/>
      <w:r w:rsidRPr="005827EF">
        <w:t xml:space="preserve">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 xml:space="preserve">PRACH parameters configuration need to be extended to support massive user handover, including </w:t>
      </w:r>
      <w:proofErr w:type="spellStart"/>
      <w:r>
        <w:rPr>
          <w:rFonts w:hint="eastAsia"/>
        </w:rPr>
        <w:t>ssb</w:t>
      </w:r>
      <w:proofErr w:type="spellEnd"/>
      <w:r>
        <w:rPr>
          <w:rFonts w:hint="eastAsia"/>
        </w:rPr>
        <w:t>-</w:t>
      </w:r>
      <w:proofErr w:type="spellStart"/>
      <w:r>
        <w:rPr>
          <w:rFonts w:hint="eastAsia"/>
        </w:rPr>
        <w:t>perRACH</w:t>
      </w:r>
      <w:proofErr w:type="spellEnd"/>
      <w:r>
        <w:rPr>
          <w:rFonts w:hint="eastAsia"/>
        </w:rPr>
        <w:t>-Occasion, Msg1-FDM, PRACH Mask index.</w:t>
      </w:r>
    </w:p>
    <w:p w14:paraId="500C221C" w14:textId="45233201" w:rsidR="00BF3F19" w:rsidRDefault="00BF3F19" w:rsidP="00BF3F19">
      <w:r>
        <w:t>Xi</w:t>
      </w:r>
      <w:r w:rsidR="00157C7E">
        <w:t>a</w:t>
      </w:r>
      <w:r>
        <w:t xml:space="preserve">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w:t>
      </w:r>
      <w:proofErr w:type="spellStart"/>
      <w:r>
        <w:t>gNB</w:t>
      </w:r>
      <w:proofErr w:type="spellEnd"/>
      <w:r>
        <w:t xml:space="preserve">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 xml:space="preserve">Integrated </w:t>
      </w:r>
      <w:proofErr w:type="spellStart"/>
      <w:r>
        <w:t>gNB</w:t>
      </w:r>
      <w:proofErr w:type="spellEnd"/>
      <w:r>
        <w:t>/Gateway with one feeder links or multiple feeder links</w:t>
      </w:r>
    </w:p>
    <w:p w14:paraId="4AF75152" w14:textId="7CDE0602" w:rsidR="00A80AA6" w:rsidRDefault="0020270C" w:rsidP="00F37FD7">
      <w:pPr>
        <w:pStyle w:val="ListParagraph"/>
        <w:numPr>
          <w:ilvl w:val="0"/>
          <w:numId w:val="29"/>
        </w:numPr>
      </w:pPr>
      <w:r>
        <w:t xml:space="preserve">Separate </w:t>
      </w:r>
      <w:proofErr w:type="spellStart"/>
      <w:r>
        <w:t>gNB</w:t>
      </w:r>
      <w:proofErr w:type="spellEnd"/>
      <w:r>
        <w:t>/Gateway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lastRenderedPageBreak/>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 xml:space="preserve">Tentative support for proposal #3-1, but we would like to raise a concern related to soft feeder link switch, which may cause significant changes in the delay experienced on the NR </w:t>
            </w:r>
            <w:proofErr w:type="spellStart"/>
            <w:r>
              <w:t>Uu</w:t>
            </w:r>
            <w:proofErr w:type="spellEnd"/>
            <w:r>
              <w:t xml:space="preserve"> interface. This delay difference may arise from the NTN-GW being located a </w:t>
            </w:r>
            <w:proofErr w:type="gramStart"/>
            <w:r>
              <w:t>separate physical locations</w:t>
            </w:r>
            <w:proofErr w:type="gramEnd"/>
            <w:r>
              <w:t xml:space="preserve">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proofErr w:type="gramStart"/>
            <w:r>
              <w:rPr>
                <w:rFonts w:eastAsiaTheme="minorEastAsia"/>
                <w:lang w:eastAsia="zh-CN"/>
              </w:rPr>
              <w:t>A</w:t>
            </w:r>
            <w:r>
              <w:rPr>
                <w:rFonts w:eastAsiaTheme="minorEastAsia" w:hint="eastAsia"/>
                <w:lang w:eastAsia="zh-CN"/>
              </w:rPr>
              <w:t>nd also</w:t>
            </w:r>
            <w:proofErr w:type="gramEnd"/>
            <w:r>
              <w:rPr>
                <w:rFonts w:eastAsiaTheme="minorEastAsia" w:hint="eastAsia"/>
                <w:lang w:eastAsia="zh-CN"/>
              </w:rPr>
              <w:t xml:space="preserve">,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proofErr w:type="spellStart"/>
            <w:r w:rsidRPr="003B14C9">
              <w:rPr>
                <w:rFonts w:cs="Arial"/>
                <w:i/>
                <w:iCs/>
              </w:rPr>
              <w:t>RRCReconfiguration</w:t>
            </w:r>
            <w:proofErr w:type="spellEnd"/>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lastRenderedPageBreak/>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Heading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r>
      <w:proofErr w:type="spellStart"/>
      <w:r>
        <w:t>gNB</w:t>
      </w:r>
      <w:proofErr w:type="spellEnd"/>
      <w:r>
        <w:t xml:space="preserve"> indication of feeder link delay drift </w:t>
      </w:r>
    </w:p>
    <w:p w14:paraId="05C6FE90" w14:textId="77777777" w:rsidR="00B018D9" w:rsidRDefault="00B018D9" w:rsidP="00B018D9">
      <w:r>
        <w:t>-</w:t>
      </w:r>
      <w:r>
        <w:tab/>
        <w:t>Gateway/</w:t>
      </w:r>
      <w:proofErr w:type="spellStart"/>
      <w:r>
        <w:t>gNB</w:t>
      </w:r>
      <w:proofErr w:type="spellEnd"/>
      <w:r>
        <w:t xml:space="preserve">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52105C65" w14:textId="77777777" w:rsidR="00237011" w:rsidRPr="008144BA" w:rsidRDefault="00237011" w:rsidP="00237011">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Header"/>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Header"/>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11CAF4E3" w14:textId="55FA2BA8" w:rsidR="00003493" w:rsidRDefault="00003493" w:rsidP="00003493">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TableGrid"/>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BodyText"/>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BodyText"/>
              <w:spacing w:line="256" w:lineRule="auto"/>
              <w:rPr>
                <w:rFonts w:cs="Arial"/>
              </w:rPr>
            </w:pPr>
            <w:r>
              <w:rPr>
                <w:rFonts w:cs="Arial" w:hint="eastAsia"/>
              </w:rPr>
              <w:lastRenderedPageBreak/>
              <w:t>ZTE</w:t>
            </w:r>
          </w:p>
        </w:tc>
        <w:tc>
          <w:tcPr>
            <w:tcW w:w="7834" w:type="dxa"/>
          </w:tcPr>
          <w:p w14:paraId="7988E4F6" w14:textId="54228AE5" w:rsidR="00FE0768" w:rsidRPr="004301CA" w:rsidRDefault="004301CA" w:rsidP="004301CA">
            <w:pPr>
              <w:pStyle w:val="BodyText"/>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BodyText"/>
              <w:spacing w:line="256" w:lineRule="auto"/>
              <w:rPr>
                <w:rFonts w:cs="Arial"/>
              </w:rPr>
            </w:pPr>
            <w:r>
              <w:rPr>
                <w:rFonts w:cs="Arial"/>
              </w:rPr>
              <w:t>SS</w:t>
            </w:r>
          </w:p>
        </w:tc>
        <w:tc>
          <w:tcPr>
            <w:tcW w:w="7834" w:type="dxa"/>
          </w:tcPr>
          <w:p w14:paraId="6C3D677B" w14:textId="648A1A47" w:rsidR="00FE0768" w:rsidRPr="008337E6" w:rsidRDefault="001334D8" w:rsidP="00376D01">
            <w:pPr>
              <w:pStyle w:val="BodyText"/>
              <w:spacing w:line="256" w:lineRule="auto"/>
              <w:rPr>
                <w:rFonts w:cs="Arial"/>
              </w:rPr>
            </w:pPr>
            <w:r>
              <w:rPr>
                <w:rFonts w:cs="Arial"/>
              </w:rPr>
              <w:t>OK</w:t>
            </w:r>
          </w:p>
        </w:tc>
      </w:tr>
      <w:tr w:rsidR="00FE0768" w14:paraId="6665D0B1" w14:textId="77777777" w:rsidTr="00376D01">
        <w:tc>
          <w:tcPr>
            <w:tcW w:w="1795" w:type="dxa"/>
          </w:tcPr>
          <w:p w14:paraId="479F48B3" w14:textId="5BFC1496" w:rsidR="00FE0768" w:rsidRPr="003E07A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4B4C7E7" w14:textId="17CCDEAE" w:rsidR="00FE0768" w:rsidRPr="003E07A7" w:rsidRDefault="003E07A7" w:rsidP="003E07A7">
            <w:pPr>
              <w:pStyle w:val="BodyText"/>
              <w:spacing w:line="256" w:lineRule="auto"/>
              <w:rPr>
                <w:rFonts w:eastAsiaTheme="minorEastAsia" w:cs="Arial"/>
                <w:lang w:eastAsia="zh-CN"/>
              </w:rPr>
            </w:pPr>
            <w:r>
              <w:rPr>
                <w:rFonts w:eastAsiaTheme="minorEastAsia" w:cs="Arial" w:hint="eastAsia"/>
                <w:lang w:eastAsia="zh-CN"/>
              </w:rPr>
              <w:t xml:space="preserve">Support ZTE view, RAN1 and RAN2 can have </w:t>
            </w:r>
            <w:r>
              <w:rPr>
                <w:rFonts w:eastAsiaTheme="minorEastAsia" w:cs="Arial"/>
                <w:lang w:eastAsia="zh-CN"/>
              </w:rPr>
              <w:t>separate</w:t>
            </w:r>
            <w:r>
              <w:rPr>
                <w:rFonts w:eastAsiaTheme="minorEastAsia" w:cs="Arial" w:hint="eastAsia"/>
                <w:lang w:eastAsia="zh-CN"/>
              </w:rPr>
              <w:t xml:space="preserve"> discussion on the impact of feeder link switch. </w:t>
            </w:r>
            <w:proofErr w:type="gramStart"/>
            <w:r>
              <w:rPr>
                <w:rFonts w:eastAsiaTheme="minorEastAsia" w:cs="Arial" w:hint="eastAsia"/>
                <w:lang w:eastAsia="zh-CN"/>
              </w:rPr>
              <w:t>Basically</w:t>
            </w:r>
            <w:proofErr w:type="gramEnd"/>
            <w:r>
              <w:rPr>
                <w:rFonts w:eastAsiaTheme="minorEastAsia" w:cs="Arial" w:hint="eastAsia"/>
                <w:lang w:eastAsia="zh-CN"/>
              </w:rPr>
              <w:t xml:space="preserve"> we think RAN1 should make </w:t>
            </w:r>
            <w:r>
              <w:rPr>
                <w:rFonts w:eastAsiaTheme="minorEastAsia" w:cs="Arial"/>
                <w:lang w:eastAsia="zh-CN"/>
              </w:rPr>
              <w:t>independent</w:t>
            </w:r>
            <w:r>
              <w:rPr>
                <w:rFonts w:eastAsiaTheme="minorEastAsia" w:cs="Arial" w:hint="eastAsia"/>
                <w:lang w:eastAsia="zh-CN"/>
              </w:rPr>
              <w:t xml:space="preserve"> judgement for the </w:t>
            </w:r>
            <w:r>
              <w:rPr>
                <w:rFonts w:eastAsiaTheme="minorEastAsia" w:cs="Arial"/>
                <w:lang w:eastAsia="zh-CN"/>
              </w:rPr>
              <w:t>specification</w:t>
            </w:r>
            <w:r>
              <w:rPr>
                <w:rFonts w:eastAsiaTheme="minorEastAsia" w:cs="Arial" w:hint="eastAsia"/>
                <w:lang w:eastAsia="zh-CN"/>
              </w:rPr>
              <w:t xml:space="preserve"> impact if any. </w:t>
            </w:r>
          </w:p>
        </w:tc>
      </w:tr>
      <w:tr w:rsidR="00FE0768" w14:paraId="59A9DF2D" w14:textId="77777777" w:rsidTr="00376D01">
        <w:tc>
          <w:tcPr>
            <w:tcW w:w="1795" w:type="dxa"/>
          </w:tcPr>
          <w:p w14:paraId="6B040617" w14:textId="3CB79CB0"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146AA0DC" w14:textId="2C6A612F" w:rsidR="00EA6BC4" w:rsidRPr="00EA6BC4" w:rsidRDefault="00EA6BC4" w:rsidP="00C5515B">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3-1. The scenario </w:t>
            </w:r>
            <w:r w:rsidR="00C5515B">
              <w:rPr>
                <w:rFonts w:eastAsiaTheme="minorEastAsia" w:cs="Arial"/>
                <w:lang w:eastAsia="zh-CN"/>
              </w:rPr>
              <w:t>can be</w:t>
            </w:r>
            <w:r>
              <w:rPr>
                <w:rFonts w:eastAsiaTheme="minorEastAsia" w:cs="Arial"/>
                <w:lang w:eastAsia="zh-CN"/>
              </w:rPr>
              <w:t xml:space="preserve"> first clarified </w:t>
            </w:r>
            <w:r w:rsidR="00C5515B">
              <w:rPr>
                <w:rFonts w:eastAsiaTheme="minorEastAsia" w:cs="Arial"/>
                <w:lang w:eastAsia="zh-CN"/>
              </w:rPr>
              <w:t xml:space="preserve">in RAN2 </w:t>
            </w:r>
            <w:r>
              <w:rPr>
                <w:rFonts w:eastAsiaTheme="minorEastAsia" w:cs="Arial" w:hint="eastAsia"/>
                <w:lang w:eastAsia="zh-CN"/>
              </w:rPr>
              <w:t xml:space="preserve">before </w:t>
            </w:r>
            <w:r>
              <w:rPr>
                <w:rFonts w:eastAsiaTheme="minorEastAsia" w:cs="Arial"/>
                <w:lang w:eastAsia="zh-CN"/>
              </w:rPr>
              <w:t>proceeding the work in RAN1.</w:t>
            </w:r>
          </w:p>
        </w:tc>
      </w:tr>
      <w:tr w:rsidR="00FE0768" w14:paraId="112A9A20" w14:textId="77777777" w:rsidTr="00376D01">
        <w:tc>
          <w:tcPr>
            <w:tcW w:w="1795" w:type="dxa"/>
          </w:tcPr>
          <w:p w14:paraId="64E3B795" w14:textId="008214CF" w:rsidR="00FE0768" w:rsidRPr="0004491C" w:rsidRDefault="0004491C"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06C119" w14:textId="2187ABF4" w:rsidR="00FE0768" w:rsidRDefault="0004491C" w:rsidP="00376D01">
            <w:pPr>
              <w:pStyle w:val="BodyText"/>
              <w:spacing w:line="256" w:lineRule="auto"/>
              <w:rPr>
                <w:rFonts w:cs="Arial"/>
              </w:rPr>
            </w:pPr>
            <w:r>
              <w:rPr>
                <w:rFonts w:eastAsia="MS Mincho" w:cs="Arial"/>
                <w:lang w:eastAsia="ja-JP"/>
              </w:rPr>
              <w:t>Support proposal#3-1.</w:t>
            </w:r>
          </w:p>
        </w:tc>
      </w:tr>
      <w:tr w:rsidR="00C50BCE" w14:paraId="440EEDFC" w14:textId="77777777" w:rsidTr="00376D01">
        <w:tc>
          <w:tcPr>
            <w:tcW w:w="1795" w:type="dxa"/>
          </w:tcPr>
          <w:p w14:paraId="2A678063" w14:textId="3ABB72FE" w:rsidR="00C50BCE" w:rsidRDefault="00C50BCE" w:rsidP="00C50BCE">
            <w:pPr>
              <w:pStyle w:val="BodyText"/>
              <w:spacing w:line="256" w:lineRule="auto"/>
              <w:rPr>
                <w:rFonts w:cs="Arial"/>
              </w:rPr>
            </w:pPr>
            <w:r>
              <w:rPr>
                <w:rFonts w:cs="Arial"/>
              </w:rPr>
              <w:t>Intel</w:t>
            </w:r>
          </w:p>
        </w:tc>
        <w:tc>
          <w:tcPr>
            <w:tcW w:w="7834" w:type="dxa"/>
          </w:tcPr>
          <w:p w14:paraId="5FB529BC" w14:textId="44375889" w:rsidR="00C50BCE" w:rsidRDefault="00C50BCE" w:rsidP="00C50BCE">
            <w:pPr>
              <w:pStyle w:val="BodyText"/>
              <w:spacing w:line="256" w:lineRule="auto"/>
              <w:rPr>
                <w:rFonts w:cs="Arial"/>
              </w:rPr>
            </w:pPr>
            <w:r>
              <w:rPr>
                <w:rFonts w:cs="Arial"/>
              </w:rPr>
              <w:t>Support proposal 3-1.</w:t>
            </w:r>
          </w:p>
        </w:tc>
      </w:tr>
      <w:tr w:rsidR="00C50BCE" w14:paraId="415812FD" w14:textId="77777777" w:rsidTr="00376D01">
        <w:tc>
          <w:tcPr>
            <w:tcW w:w="1795" w:type="dxa"/>
          </w:tcPr>
          <w:p w14:paraId="0BCCAA7A" w14:textId="083B7CD6" w:rsidR="00C50BCE" w:rsidRDefault="00112854" w:rsidP="00C50BCE">
            <w:pPr>
              <w:pStyle w:val="BodyText"/>
              <w:spacing w:line="256" w:lineRule="auto"/>
              <w:rPr>
                <w:rFonts w:cs="Arial"/>
              </w:rPr>
            </w:pPr>
            <w:r>
              <w:rPr>
                <w:rFonts w:cs="Arial"/>
              </w:rPr>
              <w:t>Ericsson</w:t>
            </w:r>
          </w:p>
        </w:tc>
        <w:tc>
          <w:tcPr>
            <w:tcW w:w="7834" w:type="dxa"/>
          </w:tcPr>
          <w:p w14:paraId="45B4BA33" w14:textId="1421B1A2" w:rsidR="00C50BCE" w:rsidRDefault="00112854" w:rsidP="00C50BCE">
            <w:pPr>
              <w:pStyle w:val="BodyText"/>
              <w:spacing w:line="256" w:lineRule="auto"/>
              <w:rPr>
                <w:rFonts w:cs="Arial"/>
              </w:rPr>
            </w:pPr>
            <w:r>
              <w:rPr>
                <w:rFonts w:cs="Arial"/>
              </w:rPr>
              <w:t>Agree</w:t>
            </w:r>
          </w:p>
        </w:tc>
      </w:tr>
      <w:tr w:rsidR="00487182" w14:paraId="4297F488" w14:textId="77777777" w:rsidTr="00376D01">
        <w:tc>
          <w:tcPr>
            <w:tcW w:w="1795" w:type="dxa"/>
          </w:tcPr>
          <w:p w14:paraId="6ADD534B" w14:textId="1A7DDA60"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47D146DA" w14:textId="692F455A" w:rsidR="00487182" w:rsidRDefault="00487182" w:rsidP="00487182">
            <w:pPr>
              <w:pStyle w:val="BodyText"/>
              <w:spacing w:line="256" w:lineRule="auto"/>
              <w:rPr>
                <w:rFonts w:cs="Arial"/>
              </w:rPr>
            </w:pPr>
            <w:r>
              <w:rPr>
                <w:rFonts w:eastAsia="Malgun Gothic" w:cs="Arial"/>
                <w:lang w:eastAsia="ko-KR"/>
              </w:rPr>
              <w:t>Support</w:t>
            </w:r>
          </w:p>
        </w:tc>
      </w:tr>
      <w:tr w:rsidR="004B2E32" w14:paraId="70B3E896" w14:textId="77777777" w:rsidTr="00376D01">
        <w:tc>
          <w:tcPr>
            <w:tcW w:w="1795" w:type="dxa"/>
          </w:tcPr>
          <w:p w14:paraId="1FEE8920" w14:textId="40EEA818"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1D0F581C" w14:textId="1EB38640" w:rsidR="004B2E32" w:rsidRDefault="004B2E32" w:rsidP="00487182">
            <w:pPr>
              <w:pStyle w:val="BodyText"/>
              <w:spacing w:line="256" w:lineRule="auto"/>
              <w:rPr>
                <w:rFonts w:eastAsia="Malgun Gothic" w:cs="Arial"/>
                <w:lang w:eastAsia="ko-KR"/>
              </w:rPr>
            </w:pPr>
            <w:r>
              <w:rPr>
                <w:rFonts w:eastAsia="Malgun Gothic" w:cs="Arial" w:hint="eastAsia"/>
                <w:lang w:eastAsia="ko-KR"/>
              </w:rPr>
              <w:t>OK</w:t>
            </w:r>
          </w:p>
        </w:tc>
      </w:tr>
      <w:tr w:rsidR="00F63305" w14:paraId="63DF466C" w14:textId="77777777" w:rsidTr="00376D01">
        <w:tc>
          <w:tcPr>
            <w:tcW w:w="1795" w:type="dxa"/>
          </w:tcPr>
          <w:p w14:paraId="2B386AC3" w14:textId="62DDE0A5" w:rsidR="00F63305" w:rsidRDefault="00F63305"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4FFF5A7" w14:textId="77777777" w:rsidR="00F63305" w:rsidRDefault="00F63305" w:rsidP="005F0449">
            <w:pPr>
              <w:pStyle w:val="BodyText"/>
              <w:spacing w:line="256" w:lineRule="auto"/>
              <w:rPr>
                <w:rFonts w:cs="Arial"/>
              </w:rPr>
            </w:pPr>
            <w:r>
              <w:rPr>
                <w:rFonts w:cs="Arial"/>
              </w:rPr>
              <w:t xml:space="preserve">Agree. </w:t>
            </w:r>
          </w:p>
          <w:p w14:paraId="1A7FEE19" w14:textId="77777777" w:rsidR="00F63305" w:rsidRDefault="00F63305" w:rsidP="005F0449">
            <w:pPr>
              <w:pStyle w:val="BodyText"/>
              <w:spacing w:line="256" w:lineRule="auto"/>
              <w:rPr>
                <w:rFonts w:cs="Arial"/>
              </w:rPr>
            </w:pPr>
            <w:r>
              <w:rPr>
                <w:rFonts w:cs="Arial"/>
              </w:rPr>
              <w:t>In case of soft FLSO, we do not see any potential issues with the current specification.</w:t>
            </w:r>
          </w:p>
          <w:p w14:paraId="2E64961B" w14:textId="38DDF43F" w:rsidR="00F63305" w:rsidRDefault="00F63305" w:rsidP="00487182">
            <w:pPr>
              <w:pStyle w:val="BodyText"/>
              <w:spacing w:line="256" w:lineRule="auto"/>
              <w:rPr>
                <w:rFonts w:eastAsia="Malgun Gothic" w:cs="Arial"/>
                <w:lang w:eastAsia="ko-KR"/>
              </w:rPr>
            </w:pPr>
            <w:r>
              <w:rPr>
                <w:rFonts w:cs="Arial"/>
              </w:rPr>
              <w:t xml:space="preserve">For hard FLSO, </w:t>
            </w:r>
            <w:proofErr w:type="gramStart"/>
            <w:r>
              <w:rPr>
                <w:rFonts w:cs="Arial"/>
              </w:rPr>
              <w:t>it is clear that the</w:t>
            </w:r>
            <w:proofErr w:type="gramEnd"/>
            <w:r>
              <w:rPr>
                <w:rFonts w:cs="Arial"/>
              </w:rPr>
              <w:t xml:space="preserve"> Connected UEs will experienced some service continuity degradation. The detailed impacts of such solution can be quite difficult to identify since they can be very different depending on the scenarios considered. Finally, it is not clear what RAN1 can do about it to address them.</w:t>
            </w:r>
          </w:p>
        </w:tc>
      </w:tr>
      <w:tr w:rsidR="005F0449" w14:paraId="63D36F6C" w14:textId="77777777" w:rsidTr="00376D01">
        <w:tc>
          <w:tcPr>
            <w:tcW w:w="1795" w:type="dxa"/>
          </w:tcPr>
          <w:p w14:paraId="5725774B" w14:textId="7369B284"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535E4D97" w14:textId="44BF8ADB" w:rsidR="005F0449" w:rsidRDefault="005F0449" w:rsidP="005F0449">
            <w:pPr>
              <w:pStyle w:val="BodyText"/>
              <w:spacing w:line="256" w:lineRule="auto"/>
              <w:rPr>
                <w:rFonts w:cs="Arial"/>
              </w:rPr>
            </w:pPr>
            <w:r>
              <w:rPr>
                <w:rFonts w:cs="Arial"/>
              </w:rPr>
              <w:t xml:space="preserve">Agree.  </w:t>
            </w:r>
          </w:p>
        </w:tc>
      </w:tr>
      <w:tr w:rsidR="00531CA2" w14:paraId="35A9FB48" w14:textId="77777777" w:rsidTr="00376D01">
        <w:tc>
          <w:tcPr>
            <w:tcW w:w="1795" w:type="dxa"/>
          </w:tcPr>
          <w:p w14:paraId="607FB5BE" w14:textId="5AC0524F" w:rsidR="00531CA2" w:rsidRDefault="00531CA2" w:rsidP="00487182">
            <w:pPr>
              <w:pStyle w:val="BodyText"/>
              <w:spacing w:line="256" w:lineRule="auto"/>
              <w:rPr>
                <w:rFonts w:eastAsia="Malgun Gothic" w:cs="Arial"/>
                <w:lang w:eastAsia="ko-KR"/>
              </w:rPr>
            </w:pPr>
            <w:r>
              <w:rPr>
                <w:rFonts w:eastAsia="Malgun Gothic" w:cs="Arial"/>
                <w:lang w:eastAsia="ko-KR"/>
              </w:rPr>
              <w:t>QC</w:t>
            </w:r>
          </w:p>
        </w:tc>
        <w:tc>
          <w:tcPr>
            <w:tcW w:w="7834" w:type="dxa"/>
          </w:tcPr>
          <w:p w14:paraId="1E6C23E6" w14:textId="78F69ECB" w:rsidR="00531CA2" w:rsidRDefault="00531CA2" w:rsidP="005F0449">
            <w:pPr>
              <w:pStyle w:val="BodyText"/>
              <w:spacing w:line="256" w:lineRule="auto"/>
              <w:rPr>
                <w:rFonts w:cs="Arial"/>
              </w:rPr>
            </w:pPr>
            <w:r>
              <w:rPr>
                <w:rFonts w:cs="Arial"/>
              </w:rPr>
              <w:t>Agree</w:t>
            </w:r>
          </w:p>
        </w:tc>
      </w:tr>
      <w:tr w:rsidR="0010607A" w14:paraId="5A22858E" w14:textId="77777777" w:rsidTr="00376D01">
        <w:tc>
          <w:tcPr>
            <w:tcW w:w="1795" w:type="dxa"/>
          </w:tcPr>
          <w:p w14:paraId="458D247F" w14:textId="796A7DE3"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52BDE5B7" w14:textId="056C5D7D" w:rsidR="0010607A" w:rsidRDefault="0010607A" w:rsidP="005F0449">
            <w:pPr>
              <w:pStyle w:val="BodyText"/>
              <w:spacing w:line="256" w:lineRule="auto"/>
              <w:rPr>
                <w:rFonts w:cs="Arial"/>
              </w:rPr>
            </w:pPr>
            <w:r>
              <w:rPr>
                <w:rFonts w:cs="Arial"/>
              </w:rPr>
              <w:t>Agree</w:t>
            </w:r>
          </w:p>
        </w:tc>
      </w:tr>
      <w:tr w:rsidR="000D7774" w14:paraId="5E8B7C03" w14:textId="77777777" w:rsidTr="00376D01">
        <w:tc>
          <w:tcPr>
            <w:tcW w:w="1795" w:type="dxa"/>
          </w:tcPr>
          <w:p w14:paraId="1F785530" w14:textId="4B1C00C2" w:rsidR="000D7774" w:rsidRDefault="000D7774" w:rsidP="000D7774">
            <w:pPr>
              <w:pStyle w:val="BodyText"/>
              <w:spacing w:line="256" w:lineRule="auto"/>
              <w:rPr>
                <w:rFonts w:eastAsia="Malgun Gothic" w:cs="Arial"/>
                <w:lang w:eastAsia="ko-KR"/>
              </w:rPr>
            </w:pPr>
            <w:r>
              <w:rPr>
                <w:rFonts w:eastAsia="Malgun Gothic" w:cs="Arial"/>
                <w:lang w:eastAsia="ko-KR"/>
              </w:rPr>
              <w:t>Nokia</w:t>
            </w:r>
          </w:p>
        </w:tc>
        <w:tc>
          <w:tcPr>
            <w:tcW w:w="7834" w:type="dxa"/>
          </w:tcPr>
          <w:p w14:paraId="6668D3A0" w14:textId="0C55FFCD" w:rsidR="000D7774" w:rsidRDefault="000D7774" w:rsidP="000D7774">
            <w:pPr>
              <w:pStyle w:val="BodyText"/>
              <w:spacing w:line="256" w:lineRule="auto"/>
              <w:rPr>
                <w:rFonts w:cs="Arial"/>
              </w:rPr>
            </w:pPr>
            <w:r>
              <w:rPr>
                <w:rFonts w:cs="Arial"/>
              </w:rPr>
              <w:t>Agree</w:t>
            </w:r>
          </w:p>
        </w:tc>
      </w:tr>
    </w:tbl>
    <w:p w14:paraId="3AC1C133" w14:textId="77777777" w:rsidR="005A366B" w:rsidRDefault="005A366B" w:rsidP="00201E04">
      <w:pPr>
        <w:pStyle w:val="BodyText"/>
        <w:rPr>
          <w:color w:val="000000" w:themeColor="text1"/>
          <w:lang w:eastAsia="ko-KR"/>
        </w:rPr>
      </w:pPr>
    </w:p>
    <w:p w14:paraId="7B69AAC1" w14:textId="52C9243F" w:rsidR="00003493" w:rsidRDefault="00003493" w:rsidP="00003493">
      <w:pPr>
        <w:pStyle w:val="Heading2"/>
        <w:rPr>
          <w:lang w:eastAsia="ko-KR"/>
        </w:rPr>
      </w:pPr>
      <w:r w:rsidRPr="00003493">
        <w:rPr>
          <w:lang w:eastAsia="ko-KR"/>
        </w:rPr>
        <w:t>Updated proposal based on company views (2nd round of email discussion)</w:t>
      </w:r>
    </w:p>
    <w:p w14:paraId="098054B0" w14:textId="2E71F2DD" w:rsidR="00003493" w:rsidRPr="00A80AA6" w:rsidRDefault="00003493" w:rsidP="00201E04">
      <w:pPr>
        <w:pStyle w:val="BodyText"/>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w:t>
      </w:r>
      <w:proofErr w:type="gramStart"/>
      <w:r>
        <w:t>A number of</w:t>
      </w:r>
      <w:proofErr w:type="gramEnd"/>
      <w:r>
        <w:t xml:space="preserve">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w:t>
      </w:r>
      <w:proofErr w:type="spellStart"/>
      <w:r w:rsidR="00BB341A">
        <w:rPr>
          <w:lang w:eastAsia="ko-KR"/>
        </w:rPr>
        <w:t>initialDownlinkBWP</w:t>
      </w:r>
      <w:proofErr w:type="spellEnd"/>
      <w:r w:rsidR="00BB341A">
        <w:rPr>
          <w:lang w:eastAsia="ko-KR"/>
        </w:rPr>
        <w:t xml:space="preserve">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lastRenderedPageBreak/>
        <w:t xml:space="preserve">In legacy NR specifications, a device needs first to switch from </w:t>
      </w:r>
      <w:r w:rsidRPr="00BB341A">
        <w:rPr>
          <w:lang w:eastAsia="ko-KR"/>
        </w:rPr>
        <w:t xml:space="preserve">the serving </w:t>
      </w:r>
      <w:proofErr w:type="spellStart"/>
      <w:r w:rsidRPr="00BB341A">
        <w:rPr>
          <w:lang w:eastAsia="ko-KR"/>
        </w:rPr>
        <w:t>BWP</w:t>
      </w:r>
      <w:r>
        <w:rPr>
          <w:lang w:eastAsia="ko-KR"/>
        </w:rPr>
        <w:t>#x</w:t>
      </w:r>
      <w:proofErr w:type="spellEnd"/>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w:t>
      </w:r>
      <w:proofErr w:type="spellStart"/>
      <w:r w:rsidRPr="0086495C">
        <w:t>gNB</w:t>
      </w:r>
      <w:proofErr w:type="spellEnd"/>
      <w:r w:rsidRPr="0086495C">
        <w:t xml:space="preserve"> relies on the CSI reporting from UE, e.g. L1-RSRP. UE needs to measure SSB or NZP-CSI-RS of its serving beam and </w:t>
      </w:r>
      <w:proofErr w:type="spellStart"/>
      <w:r w:rsidRPr="0086495C">
        <w:t>neighboring</w:t>
      </w:r>
      <w:proofErr w:type="spellEnd"/>
      <w:r w:rsidRPr="0086495C">
        <w:t xml:space="preserve"> beams and report </w:t>
      </w:r>
      <w:r w:rsidR="00D75ABC">
        <w:t>measurements</w:t>
      </w:r>
      <w:r w:rsidRPr="0086495C">
        <w:t xml:space="preserve">. </w:t>
      </w:r>
      <w:r w:rsidR="00D75ABC">
        <w:t>The</w:t>
      </w:r>
      <w:r w:rsidRPr="0086495C">
        <w:t xml:space="preserve"> </w:t>
      </w:r>
      <w:proofErr w:type="spellStart"/>
      <w:r w:rsidRPr="0086495C">
        <w:t>gNB</w:t>
      </w:r>
      <w:proofErr w:type="spellEnd"/>
      <w:r w:rsidRPr="0086495C">
        <w:t xml:space="preserve">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ListParagraph"/>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ListParagraph"/>
              <w:numPr>
                <w:ilvl w:val="0"/>
                <w:numId w:val="3"/>
              </w:numPr>
            </w:pPr>
            <w:r>
              <w:t>Observation 20</w:t>
            </w:r>
            <w:r>
              <w:tab/>
              <w:t>Circular polarization can be used to double the cell capacity</w:t>
            </w:r>
          </w:p>
          <w:p w14:paraId="082A7937" w14:textId="77777777" w:rsidR="00914881" w:rsidRDefault="00914881" w:rsidP="00376D01">
            <w:pPr>
              <w:pStyle w:val="ListParagraph"/>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ListParagraph"/>
              <w:numPr>
                <w:ilvl w:val="0"/>
                <w:numId w:val="3"/>
              </w:numPr>
            </w:pPr>
            <w:r>
              <w:t>Observation 23</w:t>
            </w:r>
            <w:r>
              <w:tab/>
              <w:t>The minimum size of NR beam is the satellite beam’s size</w:t>
            </w:r>
          </w:p>
          <w:p w14:paraId="42519FB9" w14:textId="77777777" w:rsidR="00914881" w:rsidRDefault="00914881" w:rsidP="00376D01">
            <w:pPr>
              <w:pStyle w:val="ListParagraph"/>
              <w:numPr>
                <w:ilvl w:val="0"/>
                <w:numId w:val="3"/>
              </w:numPr>
            </w:pPr>
            <w:r>
              <w:t>Observation 24</w:t>
            </w:r>
            <w:r>
              <w:tab/>
              <w:t>Beam management can be beneficial in case of multi-beam moving cell</w:t>
            </w:r>
          </w:p>
          <w:p w14:paraId="50695F09" w14:textId="77777777" w:rsidR="00914881" w:rsidRDefault="00914881" w:rsidP="00376D01">
            <w:pPr>
              <w:pStyle w:val="ListParagraph"/>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ListParagraph"/>
              <w:numPr>
                <w:ilvl w:val="0"/>
                <w:numId w:val="3"/>
              </w:numPr>
            </w:pPr>
            <w:r>
              <w:t>Observation 26</w:t>
            </w:r>
            <w:r>
              <w:tab/>
              <w:t xml:space="preserve">In the proposed solution, an a-priori BBWP planning can be used to allocate the BWP to each beam. Or a dynamic allocation can be performed by the </w:t>
            </w:r>
            <w:proofErr w:type="spellStart"/>
            <w:r>
              <w:t>gNB</w:t>
            </w:r>
            <w:proofErr w:type="spellEnd"/>
            <w:r>
              <w:t xml:space="preserve"> to configure beam-specific BWP based on the traffic distribution between the beams within the cell</w:t>
            </w:r>
          </w:p>
          <w:p w14:paraId="5D059B2D" w14:textId="77777777" w:rsidR="00914881" w:rsidRDefault="00914881" w:rsidP="00376D01">
            <w:pPr>
              <w:pStyle w:val="ListParagraph"/>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ListParagraph"/>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ListParagraph"/>
              <w:numPr>
                <w:ilvl w:val="0"/>
                <w:numId w:val="3"/>
              </w:numPr>
            </w:pPr>
            <w:r>
              <w:t>Proposal 6</w:t>
            </w:r>
            <w:r>
              <w:tab/>
              <w:t>Focus on single-beam cell (option 1) as baseline without beam management</w:t>
            </w:r>
          </w:p>
          <w:p w14:paraId="15489228" w14:textId="77777777" w:rsidR="00914881" w:rsidRDefault="00914881" w:rsidP="00376D01">
            <w:pPr>
              <w:pStyle w:val="ListParagraph"/>
              <w:numPr>
                <w:ilvl w:val="0"/>
                <w:numId w:val="3"/>
              </w:numPr>
            </w:pPr>
            <w:r>
              <w:lastRenderedPageBreak/>
              <w:t>Proposal 7</w:t>
            </w:r>
            <w:r>
              <w:tab/>
              <w:t>The new beam-specific BWP (BBWP) concept should be introduced on top of existing UE specific BWP</w:t>
            </w:r>
          </w:p>
          <w:p w14:paraId="1C1BD689" w14:textId="77777777" w:rsidR="00914881" w:rsidRDefault="00914881" w:rsidP="00376D01">
            <w:pPr>
              <w:pStyle w:val="ListParagraph"/>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ListParagraph"/>
              <w:numPr>
                <w:ilvl w:val="0"/>
                <w:numId w:val="3"/>
              </w:numPr>
            </w:pPr>
            <w:r>
              <w:t>Proposal 9</w:t>
            </w:r>
            <w:r>
              <w:tab/>
              <w:t>Bandwidth part indicator field on DCI should be unchanged</w:t>
            </w:r>
          </w:p>
          <w:p w14:paraId="2E4511BE" w14:textId="77777777" w:rsidR="00914881" w:rsidRDefault="00914881" w:rsidP="00376D01">
            <w:pPr>
              <w:pStyle w:val="ListParagraph"/>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ListParagraph"/>
              <w:numPr>
                <w:ilvl w:val="0"/>
                <w:numId w:val="3"/>
              </w:numPr>
            </w:pPr>
            <w:r>
              <w:t xml:space="preserve">Proposal 7: </w:t>
            </w:r>
            <w:r w:rsidRPr="00F4453C">
              <w:t xml:space="preserve">A first satellite providing coverage before a service link switch should assist UEs in RRC connected with </w:t>
            </w:r>
            <w:proofErr w:type="spellStart"/>
            <w:r w:rsidRPr="00F4453C">
              <w:t>signaling</w:t>
            </w:r>
            <w:proofErr w:type="spellEnd"/>
            <w:r w:rsidRPr="00F4453C">
              <w:t xml:space="preserve"> of the ephemeris of the second satellite providing coverage after the switch.</w:t>
            </w:r>
          </w:p>
          <w:p w14:paraId="5C892DB7" w14:textId="77777777" w:rsidR="00914881" w:rsidRPr="00F4453C" w:rsidRDefault="00914881" w:rsidP="00376D01">
            <w:pPr>
              <w:pStyle w:val="ListParagraph"/>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ListParagraph"/>
              <w:numPr>
                <w:ilvl w:val="0"/>
                <w:numId w:val="3"/>
              </w:numPr>
            </w:pPr>
            <w:r>
              <w:t>Observation 6: BWP based frequency reuse will negatively impact the supported system capacity.</w:t>
            </w:r>
          </w:p>
          <w:p w14:paraId="77E8B1F8" w14:textId="77777777" w:rsidR="00914881" w:rsidRDefault="00914881" w:rsidP="00376D01">
            <w:pPr>
              <w:pStyle w:val="ListParagraph"/>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ListParagraph"/>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ListParagraph"/>
              <w:numPr>
                <w:ilvl w:val="0"/>
                <w:numId w:val="3"/>
              </w:numPr>
            </w:pPr>
            <w:r>
              <w:t>Proposal 10: NR NTN should support configuration of DL and UL transmit polarization including RHCP and LHCP.</w:t>
            </w:r>
          </w:p>
          <w:p w14:paraId="49AAFDA0" w14:textId="77777777" w:rsidR="00914881" w:rsidRDefault="00914881" w:rsidP="00376D01">
            <w:pPr>
              <w:pStyle w:val="ListParagraph"/>
              <w:numPr>
                <w:ilvl w:val="0"/>
                <w:numId w:val="3"/>
              </w:numPr>
            </w:pPr>
            <w:r>
              <w:t>Observation 9: In some cases, a UE cannot be expected to reliably detect the used DL polarization.</w:t>
            </w:r>
          </w:p>
          <w:p w14:paraId="3FD0BC97" w14:textId="77777777" w:rsidR="00914881" w:rsidRDefault="00914881" w:rsidP="00376D01">
            <w:pPr>
              <w:pStyle w:val="ListParagraph"/>
              <w:numPr>
                <w:ilvl w:val="0"/>
                <w:numId w:val="3"/>
              </w:numPr>
            </w:pPr>
            <w:r>
              <w:t xml:space="preserve">Proposal 11: The </w:t>
            </w:r>
            <w:proofErr w:type="spellStart"/>
            <w:r>
              <w:t>gNB</w:t>
            </w:r>
            <w:proofErr w:type="spellEnd"/>
            <w:r>
              <w:t xml:space="preserve"> should indicate the DL and UL transmit polarizations used in NR NTN using e.g. broadcast </w:t>
            </w:r>
            <w:proofErr w:type="spellStart"/>
            <w:r>
              <w:t>signaling</w:t>
            </w:r>
            <w:proofErr w:type="spellEnd"/>
            <w:r>
              <w:t>.</w:t>
            </w:r>
          </w:p>
          <w:p w14:paraId="45DFC20D" w14:textId="77777777" w:rsidR="00914881" w:rsidRDefault="00914881" w:rsidP="00376D01">
            <w:pPr>
              <w:pStyle w:val="ListParagraph"/>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t>Huawei</w:t>
            </w:r>
          </w:p>
        </w:tc>
        <w:tc>
          <w:tcPr>
            <w:tcW w:w="8271" w:type="dxa"/>
            <w:shd w:val="clear" w:color="auto" w:fill="auto"/>
            <w:vAlign w:val="center"/>
          </w:tcPr>
          <w:p w14:paraId="5701C081" w14:textId="77777777" w:rsidR="00914881" w:rsidRDefault="00914881" w:rsidP="00376D01">
            <w:pPr>
              <w:pStyle w:val="ListParagraph"/>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ListParagraph"/>
              <w:numPr>
                <w:ilvl w:val="0"/>
                <w:numId w:val="3"/>
              </w:numPr>
            </w:pPr>
            <w:r>
              <w:t xml:space="preserve">Proposal 1: Promoting the discussion on beam management with high priority.  </w:t>
            </w:r>
          </w:p>
          <w:p w14:paraId="549DC593" w14:textId="77777777" w:rsidR="00914881" w:rsidRDefault="00914881" w:rsidP="00376D01">
            <w:pPr>
              <w:pStyle w:val="ListParagraph"/>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ListParagraph"/>
              <w:numPr>
                <w:ilvl w:val="0"/>
                <w:numId w:val="3"/>
              </w:numPr>
            </w:pPr>
            <w:r>
              <w:t>Proposal 3: Basic assumption on the UE capability w.r.t the polarization should be clarified.</w:t>
            </w:r>
          </w:p>
          <w:p w14:paraId="083F344C" w14:textId="77777777" w:rsidR="00914881" w:rsidRDefault="00914881" w:rsidP="00376D01">
            <w:pPr>
              <w:pStyle w:val="ListParagraph"/>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ListParagraph"/>
              <w:numPr>
                <w:ilvl w:val="0"/>
                <w:numId w:val="12"/>
              </w:numPr>
              <w:rPr>
                <w:bCs/>
              </w:rPr>
            </w:pPr>
            <w:r w:rsidRPr="005719E0">
              <w:rPr>
                <w:bCs/>
              </w:rPr>
              <w:lastRenderedPageBreak/>
              <w:t>Proposal 1: Support both one-beam-per-cell mapping and multiple-beams-per cell mapping.</w:t>
            </w:r>
          </w:p>
          <w:p w14:paraId="3DA3093A" w14:textId="77777777" w:rsidR="00914881" w:rsidRPr="005719E0" w:rsidRDefault="00914881" w:rsidP="00376D01">
            <w:pPr>
              <w:pStyle w:val="ListParagraph"/>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ListParagraph"/>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ListParagraph"/>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ListParagraph"/>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ListParagraph"/>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1: CORESET#0’s, SIB1’s associated with all satellite beams are in the same frequency </w:t>
            </w:r>
            <w:proofErr w:type="gramStart"/>
            <w:r w:rsidRPr="005719E0">
              <w:rPr>
                <w:bCs/>
              </w:rPr>
              <w:t>interval</w:t>
            </w:r>
            <w:proofErr w:type="gramEnd"/>
            <w:r w:rsidRPr="005719E0">
              <w:rPr>
                <w:bCs/>
              </w:rPr>
              <w:t xml:space="preserve"> but initial DL and UL BWPs may not.</w:t>
            </w:r>
          </w:p>
          <w:p w14:paraId="5DB588AB"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ListParagraph"/>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ListParagraph"/>
              <w:numPr>
                <w:ilvl w:val="0"/>
                <w:numId w:val="4"/>
              </w:numPr>
              <w:autoSpaceDE w:val="0"/>
              <w:autoSpaceDN w:val="0"/>
              <w:adjustRightInd w:val="0"/>
              <w:snapToGrid w:val="0"/>
              <w:spacing w:after="0"/>
            </w:pPr>
            <w:r>
              <w:t xml:space="preserve">Beam management enhancements specified in Rel. 17 in </w:t>
            </w:r>
            <w:proofErr w:type="spellStart"/>
            <w:r>
              <w:t>feMIMO</w:t>
            </w:r>
            <w:proofErr w:type="spellEnd"/>
            <w:r>
              <w:t xml:space="preserve">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ListParagraph"/>
              <w:numPr>
                <w:ilvl w:val="0"/>
                <w:numId w:val="4"/>
              </w:numPr>
              <w:autoSpaceDE w:val="0"/>
              <w:autoSpaceDN w:val="0"/>
              <w:adjustRightInd w:val="0"/>
              <w:snapToGrid w:val="0"/>
              <w:spacing w:after="0"/>
            </w:pPr>
            <w:r>
              <w:lastRenderedPageBreak/>
              <w:t xml:space="preserve">Observation 6: The DCI or RRC signalling for changing UE’s active BWP configuration may incur a large signalling overhead. </w:t>
            </w:r>
          </w:p>
          <w:p w14:paraId="4895A07A" w14:textId="77777777" w:rsidR="00914881" w:rsidRDefault="00914881" w:rsidP="00376D01">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lastRenderedPageBreak/>
              <w:t>OPPO</w:t>
            </w:r>
          </w:p>
        </w:tc>
        <w:tc>
          <w:tcPr>
            <w:tcW w:w="8271" w:type="dxa"/>
            <w:shd w:val="clear" w:color="auto" w:fill="auto"/>
            <w:vAlign w:val="center"/>
          </w:tcPr>
          <w:p w14:paraId="04CBB988" w14:textId="77777777" w:rsidR="00914881" w:rsidRDefault="00914881" w:rsidP="00376D01">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ListParagraph"/>
              <w:numPr>
                <w:ilvl w:val="0"/>
                <w:numId w:val="4"/>
              </w:numPr>
              <w:autoSpaceDE w:val="0"/>
              <w:autoSpaceDN w:val="0"/>
              <w:adjustRightInd w:val="0"/>
              <w:snapToGrid w:val="0"/>
              <w:spacing w:after="0"/>
            </w:pPr>
            <w:r>
              <w:t xml:space="preserve">Proposal 1: One PCI is assumed for </w:t>
            </w:r>
            <w:proofErr w:type="gramStart"/>
            <w:r>
              <w:t>a</w:t>
            </w:r>
            <w:proofErr w:type="gramEnd"/>
            <w:r>
              <w:t xml:space="preserve"> SSB beam set.</w:t>
            </w:r>
          </w:p>
          <w:p w14:paraId="6DDF3D6F" w14:textId="77777777" w:rsidR="00914881" w:rsidRDefault="00914881" w:rsidP="00376D01">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1: RAN1 considers </w:t>
            </w:r>
            <w:proofErr w:type="gramStart"/>
            <w:r w:rsidRPr="00784E4F">
              <w:t>to specify</w:t>
            </w:r>
            <w:proofErr w:type="gramEnd"/>
            <w:r w:rsidRPr="00784E4F">
              <w:t xml:space="preserve"> a larger number of SSBs allowed for one cell in FR1 for NTN.    </w:t>
            </w:r>
          </w:p>
          <w:p w14:paraId="2C5547CE"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2: Schemes to reduce the </w:t>
            </w:r>
            <w:proofErr w:type="spellStart"/>
            <w:r w:rsidRPr="00784E4F">
              <w:t>signaling</w:t>
            </w:r>
            <w:proofErr w:type="spellEnd"/>
            <w:r w:rsidRPr="00784E4F">
              <w:t xml:space="preserve"> overhead and UE power consumption for beam management in moving cell scenarios can be considered.    </w:t>
            </w:r>
          </w:p>
          <w:p w14:paraId="5EB07390" w14:textId="77777777" w:rsidR="00914881" w:rsidRPr="00000162" w:rsidRDefault="00914881" w:rsidP="00376D01">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ListParagraph"/>
              <w:numPr>
                <w:ilvl w:val="0"/>
                <w:numId w:val="4"/>
              </w:numPr>
              <w:autoSpaceDE w:val="0"/>
              <w:autoSpaceDN w:val="0"/>
              <w:adjustRightInd w:val="0"/>
              <w:snapToGrid w:val="0"/>
              <w:spacing w:after="0"/>
            </w:pPr>
            <w:r w:rsidRPr="008E4E0E">
              <w:t xml:space="preserve">Observation 1. Polarization </w:t>
            </w:r>
            <w:proofErr w:type="spellStart"/>
            <w:r w:rsidRPr="008E4E0E">
              <w:t>signaling</w:t>
            </w:r>
            <w:proofErr w:type="spellEnd"/>
            <w:r w:rsidRPr="008E4E0E">
              <w:t xml:space="preserve">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ListParagraph"/>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Heading2"/>
        <w:rPr>
          <w:lang w:eastAsia="ko-KR"/>
        </w:rPr>
      </w:pPr>
      <w:r>
        <w:rPr>
          <w:lang w:eastAsia="ko-KR"/>
        </w:rPr>
        <w:t>Company Views</w:t>
      </w:r>
    </w:p>
    <w:p w14:paraId="6FDE9746" w14:textId="4E17C822" w:rsidR="00A53F58" w:rsidRDefault="002D2546" w:rsidP="00D50E17">
      <w:pPr>
        <w:pStyle w:val="Heading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xml:space="preserve">, MediaTek, Thales, Sony, OPPO, Lenovo, </w:t>
      </w:r>
      <w:proofErr w:type="gramStart"/>
      <w:r w:rsidR="00170FBF">
        <w:t>CAICT</w:t>
      </w:r>
      <w:r w:rsidR="007038E3">
        <w:t xml:space="preserve"> </w:t>
      </w:r>
      <w:r>
        <w:t xml:space="preserve"> discussed</w:t>
      </w:r>
      <w:proofErr w:type="gramEnd"/>
      <w:r>
        <w:t xml:space="preserve">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4pt" o:ole="">
            <v:imagedata r:id="rId13" o:title=""/>
          </v:shape>
          <o:OLEObject Type="Embed" ProgID="Visio.Drawing.15" ShapeID="_x0000_i1025" DrawAspect="Content" ObjectID="_1659812244"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lastRenderedPageBreak/>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w:t>
      </w:r>
      <w:proofErr w:type="spellStart"/>
      <w:r w:rsidRPr="00AB1D6D">
        <w:rPr>
          <w:lang w:eastAsia="ko-KR"/>
        </w:rPr>
        <w:t>feMIMO</w:t>
      </w:r>
      <w:proofErr w:type="spellEnd"/>
      <w:r w:rsidRPr="00AB1D6D">
        <w:rPr>
          <w:lang w:eastAsia="ko-KR"/>
        </w:rPr>
        <w:t xml:space="preserve">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w:t>
      </w:r>
      <w:proofErr w:type="gramStart"/>
      <w:r w:rsidR="0004180C">
        <w:rPr>
          <w:lang w:eastAsia="ko-KR"/>
        </w:rPr>
        <w:t>a number of</w:t>
      </w:r>
      <w:proofErr w:type="gramEnd"/>
      <w:r w:rsidR="0004180C">
        <w:rPr>
          <w:lang w:eastAsia="ko-KR"/>
        </w:rPr>
        <w:t xml:space="preserve">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w:t>
      </w:r>
      <w:proofErr w:type="spellStart"/>
      <w:r w:rsidR="00A53F58" w:rsidRPr="00A53F58">
        <w:rPr>
          <w:lang w:eastAsia="ko-KR"/>
        </w:rPr>
        <w:t>Opt</w:t>
      </w:r>
      <w:proofErr w:type="spellEnd"/>
      <w:r w:rsidR="00A53F58" w:rsidRPr="00A53F58">
        <w:rPr>
          <w:lang w:eastAsia="ko-KR"/>
        </w:rPr>
        <w:t xml:space="preserve"> 1 is supported by the current NR specification. </w:t>
      </w:r>
      <w:proofErr w:type="spellStart"/>
      <w:r w:rsidR="00A53F58" w:rsidRPr="00A53F58">
        <w:rPr>
          <w:lang w:eastAsia="ko-KR"/>
        </w:rPr>
        <w:t>Opt</w:t>
      </w:r>
      <w:proofErr w:type="spellEnd"/>
      <w:r w:rsidR="00A53F58" w:rsidRPr="00A53F58">
        <w:rPr>
          <w:lang w:eastAsia="ko-KR"/>
        </w:rPr>
        <w:t xml:space="preserve"> 4 is the building </w:t>
      </w:r>
      <w:r w:rsidR="00170FBF">
        <w:rPr>
          <w:lang w:eastAsia="ko-KR"/>
        </w:rPr>
        <w:t xml:space="preserve">block for both </w:t>
      </w:r>
      <w:proofErr w:type="spellStart"/>
      <w:r w:rsidR="00170FBF">
        <w:rPr>
          <w:lang w:eastAsia="ko-KR"/>
        </w:rPr>
        <w:t>Opt</w:t>
      </w:r>
      <w:proofErr w:type="spellEnd"/>
      <w:r w:rsidR="00170FBF">
        <w:rPr>
          <w:lang w:eastAsia="ko-KR"/>
        </w:rPr>
        <w:t xml:space="preserve"> 2 and </w:t>
      </w:r>
      <w:proofErr w:type="spellStart"/>
      <w:r w:rsidR="00170FBF">
        <w:rPr>
          <w:lang w:eastAsia="ko-KR"/>
        </w:rPr>
        <w:t>Opt</w:t>
      </w:r>
      <w:proofErr w:type="spellEnd"/>
      <w:r w:rsidR="00170FBF">
        <w:rPr>
          <w:lang w:eastAsia="ko-KR"/>
        </w:rPr>
        <w:t xml:space="preserve"> </w:t>
      </w:r>
      <w:proofErr w:type="gramStart"/>
      <w:r w:rsidR="00170FBF">
        <w:rPr>
          <w:lang w:eastAsia="ko-KR"/>
        </w:rPr>
        <w:t>3.</w:t>
      </w:r>
      <w:r w:rsidR="00A53F58">
        <w:rPr>
          <w:lang w:eastAsia="ko-KR"/>
        </w:rPr>
        <w:t>.</w:t>
      </w:r>
      <w:proofErr w:type="gramEnd"/>
    </w:p>
    <w:p w14:paraId="44AD1114" w14:textId="2507C676" w:rsidR="00A53F58" w:rsidRDefault="00A53F58" w:rsidP="00A53F58">
      <w:pPr>
        <w:jc w:val="center"/>
        <w:rPr>
          <w:lang w:eastAsia="ko-KR"/>
        </w:rPr>
      </w:pPr>
      <w:r>
        <w:object w:dxaOrig="9996" w:dyaOrig="5424" w14:anchorId="4536A88A">
          <v:shape id="_x0000_i1026" type="#_x0000_t75" style="width:257.5pt;height:138pt" o:ole="">
            <v:imagedata r:id="rId16" o:title=""/>
          </v:shape>
          <o:OLEObject Type="Embed" ProgID="Visio.Drawing.15" ShapeID="_x0000_i1026" DrawAspect="Content" ObjectID="_1659812245"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lastRenderedPageBreak/>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xml:space="preserve">, CATT, OPPO, </w:t>
      </w:r>
      <w:proofErr w:type="gramStart"/>
      <w:r w:rsidR="00D50E17">
        <w:rPr>
          <w:lang w:eastAsia="ko-KR"/>
        </w:rPr>
        <w:t>Xiaomi</w:t>
      </w:r>
      <w:r w:rsidR="0034346D">
        <w:rPr>
          <w:lang w:eastAsia="ko-KR"/>
        </w:rPr>
        <w:t xml:space="preserve"> </w:t>
      </w:r>
      <w:r w:rsidR="005A64E4">
        <w:rPr>
          <w:lang w:eastAsia="ko-KR"/>
        </w:rPr>
        <w:t xml:space="preserve"> support</w:t>
      </w:r>
      <w:proofErr w:type="gramEnd"/>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 xml:space="preserve">up to </w:t>
      </w:r>
      <w:proofErr w:type="spellStart"/>
      <w:r w:rsidRPr="00784E4F">
        <w:rPr>
          <w:lang w:eastAsia="ko-KR"/>
        </w:rPr>
        <w:t>Lmax</w:t>
      </w:r>
      <w:proofErr w:type="spellEnd"/>
      <w:r w:rsidRPr="00784E4F">
        <w:rPr>
          <w:lang w:eastAsia="ko-KR"/>
        </w:rPr>
        <w:t xml:space="preserve"> SSBs</w:t>
      </w:r>
      <w:r>
        <w:rPr>
          <w:lang w:eastAsia="ko-KR"/>
        </w:rPr>
        <w:t xml:space="preserve"> in a cell</w:t>
      </w:r>
      <w:r w:rsidRPr="00784E4F">
        <w:rPr>
          <w:lang w:eastAsia="ko-KR"/>
        </w:rPr>
        <w:t xml:space="preserve">, where </w:t>
      </w:r>
      <w:proofErr w:type="spellStart"/>
      <w:r w:rsidRPr="00784E4F">
        <w:rPr>
          <w:lang w:eastAsia="ko-KR"/>
        </w:rPr>
        <w:t>Lmax</w:t>
      </w:r>
      <w:proofErr w:type="spellEnd"/>
      <w:r w:rsidRPr="00784E4F">
        <w:rPr>
          <w:lang w:eastAsia="ko-KR"/>
        </w:rPr>
        <w:t xml:space="preserve">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ListParagraph"/>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ListParagraph"/>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ListParagraph"/>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ListParagraph"/>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ListParagraph"/>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A5DA708" w14:textId="77777777" w:rsidR="00170FBF" w:rsidRDefault="00170FBF" w:rsidP="00170FBF">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ListParagraph"/>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BodyText"/>
        <w:rPr>
          <w:u w:val="single"/>
        </w:rPr>
      </w:pPr>
      <w:r w:rsidRPr="00170FBF">
        <w:rPr>
          <w:u w:val="single"/>
        </w:rPr>
        <w:t>TCI State Indication:</w:t>
      </w:r>
    </w:p>
    <w:p w14:paraId="01659028" w14:textId="43D55DC5" w:rsidR="002D2546" w:rsidRDefault="002D2546" w:rsidP="00A80AA6">
      <w:pPr>
        <w:pStyle w:val="BodyText"/>
      </w:pPr>
      <w:r>
        <w:t>Ericsson proposed to discuss the fo</w:t>
      </w:r>
      <w:r w:rsidR="00D50E17">
        <w:t xml:space="preserve">llowing for beam management </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w:t>
      </w:r>
      <w:proofErr w:type="spellStart"/>
      <w:r w:rsidR="00A569E3" w:rsidRPr="00A569E3">
        <w:t>Signaling</w:t>
      </w:r>
      <w:proofErr w:type="spellEnd"/>
      <w:r w:rsidR="00A569E3" w:rsidRPr="00A569E3">
        <w:t xml:space="preserve"> of the ephemeris </w:t>
      </w:r>
      <w:r w:rsidR="00A569E3">
        <w:t>for UEs in RRC connected and timing of switching to UEs in RRC idle and RRC inactive</w:t>
      </w:r>
      <w:r>
        <w:t xml:space="preserve"> </w:t>
      </w:r>
    </w:p>
    <w:p w14:paraId="74B52EF7" w14:textId="0C97C3F8"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 xml:space="preserve">ased on this location information, </w:t>
      </w:r>
      <w:proofErr w:type="spellStart"/>
      <w:r w:rsidRPr="0086495C">
        <w:t>gNB</w:t>
      </w:r>
      <w:proofErr w:type="spellEnd"/>
      <w:r w:rsidRPr="0086495C">
        <w:t xml:space="preserve">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 xml:space="preserve">the UE location and satellite ephemeris </w:t>
      </w:r>
      <w:proofErr w:type="gramStart"/>
      <w:r w:rsidR="00904443" w:rsidRPr="00904443">
        <w:t>information, and</w:t>
      </w:r>
      <w:proofErr w:type="gramEnd"/>
      <w:r w:rsidR="00904443" w:rsidRPr="00904443">
        <w:t xml:space="preserve"> can be configured by RRC</w:t>
      </w:r>
      <w:r w:rsidR="00904443">
        <w:t xml:space="preserve"> to reduce </w:t>
      </w:r>
      <w:proofErr w:type="spellStart"/>
      <w:r w:rsidR="00CB3ABC" w:rsidRPr="00904443">
        <w:t>Signaling</w:t>
      </w:r>
      <w:proofErr w:type="spellEnd"/>
      <w:r w:rsidR="00904443" w:rsidRPr="00904443">
        <w:t xml:space="preserve"> overhead for beam indication (e.g. via MAC CE and DCI)</w:t>
      </w:r>
      <w:r>
        <w:t>.</w:t>
      </w:r>
    </w:p>
    <w:p w14:paraId="65D7B775" w14:textId="3545AF67" w:rsidR="0086495C" w:rsidRDefault="0013480C" w:rsidP="002D2546">
      <w:pPr>
        <w:pStyle w:val="BodyText"/>
      </w:pPr>
      <w:r w:rsidRPr="00F12FB8">
        <w:lastRenderedPageBreak/>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BodyText"/>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BodyText"/>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BodyText"/>
        <w:numPr>
          <w:ilvl w:val="0"/>
          <w:numId w:val="19"/>
        </w:numPr>
        <w:rPr>
          <w:b/>
        </w:rPr>
      </w:pPr>
      <w:r w:rsidRPr="00904443">
        <w:rPr>
          <w:b/>
        </w:rPr>
        <w:t xml:space="preserve">Support the switching of the service links associated with different satellites including </w:t>
      </w:r>
      <w:proofErr w:type="spellStart"/>
      <w:r w:rsidRPr="00904443">
        <w:rPr>
          <w:b/>
        </w:rPr>
        <w:t>Signaling</w:t>
      </w:r>
      <w:proofErr w:type="spellEnd"/>
      <w:r w:rsidRPr="00904443">
        <w:rPr>
          <w:b/>
        </w:rPr>
        <w:t xml:space="preserve"> of the ephemeris for UEs in RRC connected and timing of switching to UEs in RRC idle and RRC inactive </w:t>
      </w:r>
    </w:p>
    <w:p w14:paraId="18019EB7" w14:textId="77777777" w:rsidR="00CE4A0C" w:rsidRDefault="00CE4A0C" w:rsidP="00CE4A0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BodyText"/>
      </w:pPr>
    </w:p>
    <w:p w14:paraId="30EC7201" w14:textId="42B7B605" w:rsidR="00904443" w:rsidRPr="00170FBF" w:rsidRDefault="00170FBF" w:rsidP="002D2546">
      <w:pPr>
        <w:pStyle w:val="BodyText"/>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proofErr w:type="spellStart"/>
      <w:r w:rsidR="00C0337B" w:rsidRPr="005A64E4">
        <w:t>Signaling</w:t>
      </w:r>
      <w:proofErr w:type="spellEnd"/>
      <w:r w:rsidRPr="005A64E4">
        <w:t xml:space="preserve"> </w:t>
      </w:r>
      <w:proofErr w:type="gramStart"/>
      <w:r w:rsidRPr="005A64E4">
        <w:t>overhead, and</w:t>
      </w:r>
      <w:proofErr w:type="gramEnd"/>
      <w:r w:rsidRPr="005A64E4">
        <w:t xml:space="preserve">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BodyText"/>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BodyText"/>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BodyText"/>
        <w:numPr>
          <w:ilvl w:val="0"/>
          <w:numId w:val="20"/>
        </w:numPr>
        <w:rPr>
          <w:b/>
          <w:lang w:eastAsia="ko-KR"/>
        </w:rPr>
      </w:pPr>
      <w:r>
        <w:rPr>
          <w:b/>
          <w:lang w:eastAsia="ko-KR"/>
        </w:rPr>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w:t>
            </w:r>
            <w:proofErr w:type="gramStart"/>
            <w:r>
              <w:rPr>
                <w:rFonts w:eastAsia="MS Mincho"/>
                <w:bCs/>
                <w:iCs/>
                <w:lang w:eastAsia="ja-JP"/>
              </w:rPr>
              <w:t>location based</w:t>
            </w:r>
            <w:proofErr w:type="gramEnd"/>
            <w:r>
              <w:rPr>
                <w:rFonts w:eastAsia="MS Mincho"/>
                <w:bCs/>
                <w:iCs/>
                <w:lang w:eastAsia="ja-JP"/>
              </w:rPr>
              <w:t xml:space="preserve">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w:t>
            </w:r>
            <w:proofErr w:type="gramStart"/>
            <w:r>
              <w:rPr>
                <w:rFonts w:eastAsia="MS Mincho"/>
                <w:bCs/>
                <w:iCs/>
                <w:lang w:eastAsia="ja-JP"/>
              </w:rPr>
              <w:t>location based</w:t>
            </w:r>
            <w:proofErr w:type="gramEnd"/>
            <w:r>
              <w:rPr>
                <w:rFonts w:eastAsia="MS Mincho"/>
                <w:bCs/>
                <w:iCs/>
                <w:lang w:eastAsia="ja-JP"/>
              </w:rPr>
              <w:t xml:space="preserve">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w:t>
            </w:r>
            <w:proofErr w:type="spellStart"/>
            <w:r>
              <w:rPr>
                <w:bCs/>
                <w:iCs/>
                <w:lang w:eastAsia="ko-KR"/>
              </w:rPr>
              <w:t>feMIMO</w:t>
            </w:r>
            <w:proofErr w:type="spellEnd"/>
            <w:r>
              <w:rPr>
                <w:bCs/>
                <w:iCs/>
                <w:lang w:eastAsia="ko-KR"/>
              </w:rPr>
              <w:t>.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lastRenderedPageBreak/>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w:t>
            </w:r>
            <w:proofErr w:type="spellStart"/>
            <w:r>
              <w:rPr>
                <w:bCs/>
                <w:iCs/>
                <w:lang w:eastAsia="ko-KR"/>
              </w:rPr>
              <w:t>TDM’ed</w:t>
            </w:r>
            <w:proofErr w:type="spellEnd"/>
            <w:r>
              <w:rPr>
                <w:bCs/>
                <w:iCs/>
                <w:lang w:eastAsia="ko-KR"/>
              </w:rPr>
              <w:t xml:space="preserve">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w:t>
            </w:r>
            <w:proofErr w:type="spellStart"/>
            <w:r>
              <w:rPr>
                <w:rFonts w:eastAsiaTheme="minorEastAsia"/>
                <w:lang w:eastAsia="zh-CN"/>
              </w:rPr>
              <w:t>gNB</w:t>
            </w:r>
            <w:proofErr w:type="spellEnd"/>
            <w:r>
              <w:rPr>
                <w:rFonts w:eastAsiaTheme="minorEastAsia"/>
                <w:lang w:eastAsia="zh-CN"/>
              </w:rPr>
              <w:t xml:space="preserve">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lastRenderedPageBreak/>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 xml:space="preserve">Potential proposal 4-1: Any changes needed for beam management should be as aligned with other Rel-17 features as possible. From this perspective, it would be recommended to further investigate the aspects already considered for Rel-17 </w:t>
            </w:r>
            <w:proofErr w:type="spellStart"/>
            <w:r>
              <w:t>feMIMO</w:t>
            </w:r>
            <w:proofErr w:type="spellEnd"/>
            <w:r>
              <w:t>.</w:t>
            </w:r>
          </w:p>
          <w:p w14:paraId="686039A5" w14:textId="77777777" w:rsidR="00170FBF" w:rsidRDefault="00170FBF" w:rsidP="00376D01">
            <w:pPr>
              <w:autoSpaceDE w:val="0"/>
              <w:autoSpaceDN w:val="0"/>
              <w:adjustRightInd w:val="0"/>
              <w:snapToGrid w:val="0"/>
            </w:pPr>
            <w:r>
              <w:t xml:space="preserve">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w:t>
            </w:r>
            <w:proofErr w:type="spellStart"/>
            <w:r>
              <w:t>gNB</w:t>
            </w:r>
            <w:proofErr w:type="spellEnd"/>
            <w:r>
              <w:t>.</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w:t>
            </w:r>
            <w:proofErr w:type="spellStart"/>
            <w:r>
              <w:rPr>
                <w:rFonts w:eastAsia="Malgun Gothic"/>
                <w:bCs/>
                <w:iCs/>
                <w:lang w:eastAsia="ko-KR"/>
              </w:rPr>
              <w:t>FeMIMO</w:t>
            </w:r>
            <w:proofErr w:type="spellEnd"/>
            <w:r>
              <w:rPr>
                <w:rFonts w:eastAsia="Malgun Gothic"/>
                <w:bCs/>
                <w:iCs/>
                <w:lang w:eastAsia="ko-KR"/>
              </w:rPr>
              <w:t xml:space="preserve">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w:t>
            </w:r>
            <w:proofErr w:type="spellStart"/>
            <w:r>
              <w:rPr>
                <w:rFonts w:eastAsia="Malgun Gothic"/>
                <w:bCs/>
                <w:iCs/>
                <w:lang w:eastAsia="ko-KR"/>
              </w:rPr>
              <w:t>gNB</w:t>
            </w:r>
            <w:proofErr w:type="spellEnd"/>
            <w:r>
              <w:rPr>
                <w:rFonts w:eastAsia="Malgun Gothic"/>
                <w:bCs/>
                <w:iCs/>
                <w:lang w:eastAsia="ko-KR"/>
              </w:rPr>
              <w:t xml:space="preserve">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 xml:space="preserve">As an </w:t>
            </w:r>
            <w:proofErr w:type="gramStart"/>
            <w:r>
              <w:rPr>
                <w:rFonts w:eastAsia="MS Mincho"/>
                <w:bCs/>
                <w:iCs/>
                <w:lang w:eastAsia="ja-JP"/>
              </w:rPr>
              <w:t>example</w:t>
            </w:r>
            <w:proofErr w:type="gramEnd"/>
            <w:r>
              <w:rPr>
                <w:rFonts w:eastAsia="MS Mincho"/>
                <w:bCs/>
                <w:iCs/>
                <w:lang w:eastAsia="ja-JP"/>
              </w:rPr>
              <w:t xml:space="preserv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w:t>
            </w:r>
            <w:r w:rsidRPr="00552B6F">
              <w:rPr>
                <w:rFonts w:eastAsia="MS Mincho"/>
                <w:bCs/>
                <w:iCs/>
                <w:lang w:eastAsia="ja-JP"/>
              </w:rPr>
              <w:lastRenderedPageBreak/>
              <w:t xml:space="preserve">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lastRenderedPageBreak/>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w:t>
            </w:r>
            <w:proofErr w:type="gramStart"/>
            <w:r>
              <w:t>specifications :</w:t>
            </w:r>
            <w:proofErr w:type="gramEnd"/>
          </w:p>
          <w:p w14:paraId="1801891D" w14:textId="77777777" w:rsidR="00170FBF" w:rsidRDefault="00170FBF" w:rsidP="00376D01">
            <w:pPr>
              <w:pStyle w:val="ListParagraph"/>
              <w:numPr>
                <w:ilvl w:val="0"/>
                <w:numId w:val="33"/>
              </w:numPr>
              <w:autoSpaceDE w:val="0"/>
              <w:autoSpaceDN w:val="0"/>
              <w:adjustRightInd w:val="0"/>
              <w:snapToGrid w:val="0"/>
            </w:pPr>
            <w:r w:rsidRPr="006C123A">
              <w:t>SSB arrangements</w:t>
            </w:r>
          </w:p>
          <w:p w14:paraId="0DF5E7A5" w14:textId="77777777" w:rsidR="00170FBF" w:rsidRDefault="00170FBF" w:rsidP="00376D01">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w:t>
            </w:r>
            <w:proofErr w:type="gramStart"/>
            <w:r>
              <w:rPr>
                <w:lang w:eastAsia="ko-KR"/>
              </w:rPr>
              <w:t>discuss</w:t>
            </w:r>
            <w:proofErr w:type="gramEnd"/>
            <w:r>
              <w:rPr>
                <w:lang w:eastAsia="ko-KR"/>
              </w:rPr>
              <w:t xml:space="preserve">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ListParagraph"/>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ListParagraph"/>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 xml:space="preserve">Tend to agree with Ericsson’s comment – further detail </w:t>
            </w:r>
            <w:proofErr w:type="gramStart"/>
            <w:r w:rsidRPr="001A3FC0">
              <w:rPr>
                <w:bCs/>
                <w:iCs/>
                <w:lang w:eastAsia="ko-KR"/>
              </w:rPr>
              <w:t>required</w:t>
            </w:r>
            <w:proofErr w:type="gramEnd"/>
            <w:r w:rsidRPr="001A3FC0">
              <w:rPr>
                <w:bCs/>
                <w:iCs/>
                <w:lang w:eastAsia="ko-KR"/>
              </w:rPr>
              <w:t xml:space="preserve">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w:t>
            </w:r>
            <w:proofErr w:type="gramStart"/>
            <w:r>
              <w:rPr>
                <w:bCs/>
                <w:iCs/>
                <w:lang w:eastAsia="ko-KR"/>
              </w:rPr>
              <w:t>In particular, impact</w:t>
            </w:r>
            <w:proofErr w:type="gramEnd"/>
            <w:r>
              <w:rPr>
                <w:bCs/>
                <w:iCs/>
                <w:lang w:eastAsia="ko-KR"/>
              </w:rPr>
              <w:t xml:space="preserve"> of beam specific initial BWPs and multiple beams per cell on the specifications and implementation 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w:t>
            </w:r>
            <w:proofErr w:type="gramStart"/>
            <w:r>
              <w:t>making</w:t>
            </w:r>
            <w:proofErr w:type="gramEnd"/>
            <w:r>
              <w:t xml:space="preserve">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w:t>
            </w:r>
            <w:proofErr w:type="spellStart"/>
            <w:r>
              <w:rPr>
                <w:rFonts w:eastAsiaTheme="minorEastAsia"/>
                <w:lang w:eastAsia="zh-CN"/>
              </w:rPr>
              <w:t>its</w:t>
            </w:r>
            <w:proofErr w:type="spellEnd"/>
            <w:r>
              <w:rPr>
                <w:rFonts w:eastAsiaTheme="minorEastAsia"/>
                <w:lang w:eastAsia="zh-CN"/>
              </w:rPr>
              <w:t xml:space="preserve">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lastRenderedPageBreak/>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 xml:space="preserve">roposal 4-2 and 4-3: There are many details </w:t>
            </w:r>
            <w:proofErr w:type="spellStart"/>
            <w:r>
              <w:rPr>
                <w:rFonts w:eastAsiaTheme="minorEastAsia"/>
                <w:lang w:eastAsia="zh-CN"/>
              </w:rPr>
              <w:t>regrading</w:t>
            </w:r>
            <w:proofErr w:type="spellEnd"/>
            <w:r>
              <w:rPr>
                <w:rFonts w:eastAsiaTheme="minorEastAsia"/>
                <w:lang w:eastAsia="zh-CN"/>
              </w:rPr>
              <w:t xml:space="preserve">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w:t>
            </w:r>
            <w:proofErr w:type="gramStart"/>
            <w:r>
              <w:rPr>
                <w:rFonts w:eastAsiaTheme="minorEastAsia" w:hint="eastAsia"/>
                <w:lang w:eastAsia="zh-CN"/>
              </w:rPr>
              <w:t>discussed</w:t>
            </w:r>
            <w:proofErr w:type="gramEnd"/>
            <w:r>
              <w:rPr>
                <w:rFonts w:eastAsiaTheme="minorEastAsia" w:hint="eastAsia"/>
                <w:lang w:eastAsia="zh-CN"/>
              </w:rPr>
              <w:t xml:space="preserve"> proposal 4-2 and 4-3. </w:t>
            </w:r>
          </w:p>
          <w:p w14:paraId="72EEE355" w14:textId="77777777" w:rsidR="00170FBF" w:rsidRPr="00476CAE" w:rsidRDefault="00170FBF" w:rsidP="00376D01">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w:t>
            </w:r>
            <w:proofErr w:type="gramStart"/>
            <w:r>
              <w:rPr>
                <w:rFonts w:eastAsiaTheme="minorEastAsia" w:hint="eastAsia"/>
                <w:lang w:eastAsia="zh-CN"/>
              </w:rPr>
              <w:t>15  BWP</w:t>
            </w:r>
            <w:proofErr w:type="gramEnd"/>
            <w:r>
              <w:rPr>
                <w:rFonts w:eastAsiaTheme="minorEastAsia" w:hint="eastAsia"/>
                <w:lang w:eastAsia="zh-CN"/>
              </w:rPr>
              <w:t xml:space="preserve">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mode UE, multiple BWPs are mapping to one cell. </w:t>
            </w:r>
            <w:proofErr w:type="gramStart"/>
            <w:r>
              <w:rPr>
                <w:rFonts w:eastAsiaTheme="minorEastAsia" w:hint="eastAsia"/>
                <w:lang w:eastAsia="zh-CN"/>
              </w:rPr>
              <w:t>So</w:t>
            </w:r>
            <w:proofErr w:type="gramEnd"/>
            <w:r>
              <w:rPr>
                <w:rFonts w:eastAsiaTheme="minorEastAsia" w:hint="eastAsia"/>
                <w:lang w:eastAsia="zh-CN"/>
              </w:rPr>
              <w:t xml:space="preserve">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Heading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5pt;height:263.5pt" o:ole="">
                  <v:imagedata r:id="rId18" o:title=""/>
                </v:shape>
                <o:OLEObject Type="Embed" ProgID="Visio.Drawing.15" ShapeID="_x0000_i1027" DrawAspect="Content" ObjectID="_1659812246"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5A7CF289" w14:textId="77777777" w:rsidR="00170FBF" w:rsidRPr="00143DC1" w:rsidRDefault="00170FBF" w:rsidP="00376D01">
            <w:pPr>
              <w:pStyle w:val="BodyText"/>
              <w:rPr>
                <w:lang w:eastAsia="ko-KR"/>
              </w:rPr>
            </w:pPr>
            <w:r w:rsidRPr="00143DC1">
              <w:rPr>
                <w:lang w:eastAsia="ko-KR"/>
              </w:rPr>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D50E17">
      <w:pPr>
        <w:pStyle w:val="Heading3"/>
      </w:pPr>
      <w:r>
        <w:t>BWP</w:t>
      </w:r>
      <w:r w:rsidR="009C5E3C">
        <w:t xml:space="preserve"> Configuration, Activation/De-activation</w:t>
      </w:r>
    </w:p>
    <w:p w14:paraId="3B3EEAEB" w14:textId="12F2FC78"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BodyText"/>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 xml:space="preserve">proposed to </w:t>
      </w:r>
      <w:r w:rsidR="00E177F4" w:rsidRPr="00E177F4">
        <w:lastRenderedPageBreak/>
        <w:t>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BodyText"/>
      </w:pPr>
      <w:r>
        <w:rPr>
          <w:noProof/>
          <w:lang w:val="en-US"/>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66081B4D" w:rsidR="004F06AD" w:rsidRDefault="004F06AD" w:rsidP="004F06AD">
      <w:pPr>
        <w:pStyle w:val="BodyText"/>
      </w:pPr>
      <w:r>
        <w:t>Qualcomm propose</w:t>
      </w:r>
      <w:r w:rsidR="00CE4A0C">
        <w:t>d to consider the following</w:t>
      </w:r>
      <w:r>
        <w:t>:</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4D9840FA" w:rsidR="00DD0312" w:rsidRDefault="00DD0312" w:rsidP="00DD0312">
      <w:pPr>
        <w:pStyle w:val="BodyText"/>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DL synchronization and UL synchronization should be re-</w:t>
      </w:r>
      <w:proofErr w:type="spellStart"/>
      <w:r>
        <w:rPr>
          <w:rFonts w:hint="eastAsia"/>
        </w:rPr>
        <w:t>estabilished</w:t>
      </w:r>
      <w:proofErr w:type="spellEnd"/>
      <w:r>
        <w:rPr>
          <w:rFonts w:hint="eastAsia"/>
        </w:rPr>
        <w:t xml:space="preserve"> if different beams </w:t>
      </w:r>
      <w:r>
        <w:t>correspond</w:t>
      </w:r>
      <w:r>
        <w:rPr>
          <w:rFonts w:hint="eastAsia"/>
        </w:rPr>
        <w:t xml:space="preserve"> to different RF </w:t>
      </w:r>
      <w:proofErr w:type="spellStart"/>
      <w:r>
        <w:rPr>
          <w:rFonts w:hint="eastAsia"/>
        </w:rPr>
        <w:t>branchs</w:t>
      </w:r>
      <w:proofErr w:type="spellEnd"/>
      <w:r>
        <w:rPr>
          <w:rFonts w:hint="eastAsia"/>
        </w:rPr>
        <w:t xml:space="preserve"> of a satellite. </w:t>
      </w:r>
    </w:p>
    <w:p w14:paraId="418C098B" w14:textId="5D3E81DE" w:rsidR="00DD0312" w:rsidRDefault="00DD0312" w:rsidP="00DD0312">
      <w:pPr>
        <w:pStyle w:val="BodyText"/>
        <w:numPr>
          <w:ilvl w:val="0"/>
          <w:numId w:val="18"/>
        </w:numPr>
      </w:pPr>
      <w:r>
        <w:rPr>
          <w:rFonts w:hint="eastAsia"/>
        </w:rPr>
        <w:t xml:space="preserve">UE should inform the </w:t>
      </w:r>
      <w:proofErr w:type="spellStart"/>
      <w:r>
        <w:rPr>
          <w:rFonts w:hint="eastAsia"/>
        </w:rPr>
        <w:t>gNB</w:t>
      </w:r>
      <w:proofErr w:type="spellEnd"/>
      <w:r>
        <w:rPr>
          <w:rFonts w:hint="eastAsia"/>
        </w:rPr>
        <w:t xml:space="preserve">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 xml:space="preserve">“efficient satellite beam switch” is an inaccurate term. This would be up to </w:t>
            </w:r>
            <w:proofErr w:type="spellStart"/>
            <w:r>
              <w:t>gNB</w:t>
            </w:r>
            <w:proofErr w:type="spellEnd"/>
            <w:r>
              <w:t xml:space="preserve"> implementation. As a starting point, RAN1 will provide the means for changing beams, and the </w:t>
            </w:r>
            <w:proofErr w:type="spellStart"/>
            <w:r>
              <w:t>gNB</w:t>
            </w:r>
            <w:proofErr w:type="spellEnd"/>
            <w:r>
              <w:t xml:space="preserve">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 xml:space="preserve">W.r.t the last bullet, network triggering mechanism for BWP switching, it seems that such solution is already supported in NR, e.g., via DCI or timer based according to </w:t>
            </w:r>
            <w:proofErr w:type="spellStart"/>
            <w:r>
              <w:rPr>
                <w:rFonts w:eastAsiaTheme="minorEastAsia"/>
                <w:lang w:eastAsia="zh-CN"/>
              </w:rPr>
              <w:t>gNB</w:t>
            </w:r>
            <w:proofErr w:type="spellEnd"/>
            <w:r>
              <w:rPr>
                <w:rFonts w:eastAsiaTheme="minorEastAsia"/>
                <w:lang w:eastAsia="zh-CN"/>
              </w:rPr>
              <w:t xml:space="preserve">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BodyText"/>
      </w:pPr>
    </w:p>
    <w:p w14:paraId="55F4C8A9" w14:textId="1F3CE418" w:rsidR="009A7B3C" w:rsidRDefault="009A7B3C" w:rsidP="00D50E17">
      <w:pPr>
        <w:pStyle w:val="Heading3"/>
      </w:pPr>
      <w:r>
        <w:t>Signalling of Polarization</w:t>
      </w:r>
    </w:p>
    <w:p w14:paraId="2BD65FE1" w14:textId="77777777" w:rsidR="00403A18" w:rsidRDefault="00FD0649" w:rsidP="009A7B3C">
      <w:pPr>
        <w:pStyle w:val="BodyText"/>
      </w:pPr>
      <w:r>
        <w:t xml:space="preserve">Support of polarisation antennas depends on the UE antenna design and implementation. Polarisation can be used in the network for example </w:t>
      </w:r>
      <w:proofErr w:type="gramStart"/>
      <w:r>
        <w:t>for  inter</w:t>
      </w:r>
      <w:proofErr w:type="gramEnd"/>
      <w:r>
        <w:t>-cell interference mitigation or higher frequency re-use (i.e. Frequency re-use factor 4 with two carriers). The</w:t>
      </w:r>
      <w:r w:rsidRPr="00FD0649">
        <w:t xml:space="preserve"> UE cannot be expected to reliably detect the used DL polarization</w:t>
      </w:r>
      <w:r>
        <w:t xml:space="preserve">. The network and UE need to </w:t>
      </w:r>
      <w:r>
        <w:lastRenderedPageBreak/>
        <w:t xml:space="preserve">have same understanding on support of polarisation to avoid misunderstanding which could result in polarisation loss of several </w:t>
      </w:r>
      <w:proofErr w:type="spellStart"/>
      <w:r>
        <w:t>dBs.</w:t>
      </w:r>
      <w:proofErr w:type="spellEnd"/>
      <w:r>
        <w:t xml:space="preserve"> </w:t>
      </w:r>
    </w:p>
    <w:p w14:paraId="786D3D27" w14:textId="245EB67B"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w:t>
      </w:r>
      <w:proofErr w:type="spellStart"/>
      <w:r w:rsidR="008E4E0E" w:rsidRPr="008E4E0E">
        <w:t>signaling</w:t>
      </w:r>
      <w:proofErr w:type="spellEnd"/>
      <w:r w:rsidR="008E4E0E" w:rsidRPr="008E4E0E">
        <w:t xml:space="preserve"> is beneficial for increasing spectral efficiency.</w:t>
      </w:r>
    </w:p>
    <w:p w14:paraId="54345499" w14:textId="608B42C8" w:rsidR="00FD0649" w:rsidRDefault="002E687E" w:rsidP="009A7B3C">
      <w:pPr>
        <w:pStyle w:val="BodyText"/>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BodyText"/>
      </w:pPr>
      <w:r>
        <w:t xml:space="preserve">Several companies discussed signalling mechanisms for polarisation: </w:t>
      </w:r>
    </w:p>
    <w:p w14:paraId="37A324F8" w14:textId="558EB696" w:rsidR="00FD0649" w:rsidRDefault="00FD0649" w:rsidP="00810AF8">
      <w:pPr>
        <w:pStyle w:val="BodyText"/>
        <w:numPr>
          <w:ilvl w:val="0"/>
          <w:numId w:val="6"/>
        </w:numPr>
      </w:pPr>
      <w:r>
        <w:t>Ericsson</w:t>
      </w:r>
      <w:r w:rsidR="00F8227D">
        <w:t>, Huawei</w:t>
      </w:r>
      <w:r>
        <w:t xml:space="preserve"> proposed </w:t>
      </w:r>
      <w:r w:rsidRPr="00FD0649">
        <w:t xml:space="preserve">NR NTN should support configuration of DL and UL transmit polarization including Right hand and </w:t>
      </w:r>
      <w:proofErr w:type="gramStart"/>
      <w:r w:rsidRPr="00FD0649">
        <w:t>left hand</w:t>
      </w:r>
      <w:proofErr w:type="gramEnd"/>
      <w:r w:rsidRPr="00FD0649">
        <w:t xml:space="preserve"> circular polarizations (RHCP, LHCP)</w:t>
      </w:r>
      <w:r w:rsidR="00417B20">
        <w:t xml:space="preserve">. </w:t>
      </w:r>
    </w:p>
    <w:p w14:paraId="6E6AA162" w14:textId="608125A9" w:rsidR="00FD0649" w:rsidRDefault="00FD0649" w:rsidP="00810AF8">
      <w:pPr>
        <w:pStyle w:val="BodyText"/>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BodyText"/>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BodyText"/>
      </w:pPr>
      <w:r>
        <w:rPr>
          <w:noProof/>
          <w:lang w:val="en-US"/>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w:t>
            </w:r>
            <w:proofErr w:type="spellStart"/>
            <w:r w:rsidRPr="002A3A45">
              <w:rPr>
                <w:bCs/>
                <w:iCs/>
                <w:lang w:eastAsia="ko-KR"/>
              </w:rPr>
              <w:t>Starlink</w:t>
            </w:r>
            <w:proofErr w:type="spellEnd"/>
            <w:r w:rsidRPr="002A3A45">
              <w:rPr>
                <w:bCs/>
                <w:iCs/>
                <w:lang w:eastAsia="ko-KR"/>
              </w:rPr>
              <w:t xml:space="preserve">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lastRenderedPageBreak/>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proofErr w:type="spellStart"/>
            <w:r>
              <w:t>Tenative</w:t>
            </w:r>
            <w:proofErr w:type="spellEnd"/>
            <w:r>
              <w:t xml:space="preserve"> support for this proposal. However, we would like to raise a concern related to capability indication, which is based on the availability of the information. Any capability needed for initial access would need to mandatory for the UE, as the </w:t>
            </w:r>
            <w:proofErr w:type="spellStart"/>
            <w:r>
              <w:t>gNB</w:t>
            </w:r>
            <w:proofErr w:type="spellEnd"/>
            <w:r>
              <w:t xml:space="preserve">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proofErr w:type="gramStart"/>
            <w:r>
              <w:rPr>
                <w:rFonts w:eastAsiaTheme="minorEastAsia"/>
                <w:bCs/>
                <w:iCs/>
                <w:lang w:eastAsia="zh-CN"/>
              </w:rPr>
              <w:t>G</w:t>
            </w:r>
            <w:r>
              <w:rPr>
                <w:rFonts w:eastAsiaTheme="minorEastAsia" w:hint="eastAsia"/>
                <w:bCs/>
                <w:iCs/>
                <w:lang w:eastAsia="zh-CN"/>
              </w:rPr>
              <w:t>enerally</w:t>
            </w:r>
            <w:proofErr w:type="gramEnd"/>
            <w:r>
              <w:rPr>
                <w:rFonts w:eastAsiaTheme="minorEastAsia" w:hint="eastAsia"/>
                <w:bCs/>
                <w:iCs/>
                <w:lang w:eastAsia="zh-CN"/>
              </w:rPr>
              <w:t xml:space="preserve">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2398E112" w14:textId="51FFC111"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BodyText"/>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lastRenderedPageBreak/>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xml:space="preserve">. For these configuration types, minimum enhancements for TCI state indication and beam measurements can be considered. These scenarios would be </w:t>
      </w:r>
      <w:proofErr w:type="gramStart"/>
      <w:r>
        <w:rPr>
          <w:lang w:eastAsia="ko-KR"/>
        </w:rPr>
        <w:t>sufficient</w:t>
      </w:r>
      <w:proofErr w:type="gramEnd"/>
      <w:r>
        <w:rPr>
          <w:lang w:eastAsia="ko-KR"/>
        </w:rPr>
        <w:t xml:space="preserve">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 xml:space="preserve">Lenovo/MM commented on proposal 4-1 to first discuss the beam to cell mapping and SSB arrangements before discussing the details related to initial BWP, coreset#0, number of SSBs. On Proposal 4-2 and 4-3, they commented there are many details </w:t>
      </w:r>
      <w:proofErr w:type="spellStart"/>
      <w:r>
        <w:rPr>
          <w:lang w:eastAsia="ko-KR"/>
        </w:rPr>
        <w:t>regrading</w:t>
      </w:r>
      <w:proofErr w:type="spellEnd"/>
      <w:r>
        <w:rPr>
          <w:lang w:eastAsia="ko-KR"/>
        </w:rPr>
        <w:t xml:space="preserve"> TCI indication and service link switching and prefer such details to be discussed after the association among cell/BWP/beam/SSB/CSI-RS is </w:t>
      </w:r>
      <w:proofErr w:type="gramStart"/>
      <w:r>
        <w:rPr>
          <w:lang w:eastAsia="ko-KR"/>
        </w:rPr>
        <w:t>determined..</w:t>
      </w:r>
      <w:proofErr w:type="gramEnd"/>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w:t>
      </w:r>
      <w:proofErr w:type="gramStart"/>
      <w:r>
        <w:rPr>
          <w:rFonts w:hint="eastAsia"/>
          <w:lang w:eastAsia="ko-KR"/>
        </w:rPr>
        <w:t>to introduce</w:t>
      </w:r>
      <w:proofErr w:type="gramEnd"/>
      <w:r>
        <w:rPr>
          <w:rFonts w:hint="eastAsia"/>
          <w:lang w:eastAsia="ko-KR"/>
        </w:rPr>
        <w:t xml:space="preserv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 xml:space="preserve">Hence, we need to discuss for proposal 4-1 firstly, only some principles have been agreed, and then we can </w:t>
      </w:r>
      <w:proofErr w:type="gramStart"/>
      <w:r>
        <w:rPr>
          <w:lang w:eastAsia="ko-KR"/>
        </w:rPr>
        <w:t>discussed</w:t>
      </w:r>
      <w:proofErr w:type="gramEnd"/>
      <w:r>
        <w:rPr>
          <w:lang w:eastAsia="ko-KR"/>
        </w:rPr>
        <w:t xml:space="preserve">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Heading3"/>
        <w:rPr>
          <w:lang w:eastAsia="ko-KR"/>
        </w:rPr>
      </w:pPr>
      <w:r>
        <w:rPr>
          <w:lang w:eastAsia="ko-KR"/>
        </w:rPr>
        <w:t>BWP Configuration and Activation/De-activation</w:t>
      </w:r>
    </w:p>
    <w:p w14:paraId="3AB052B0" w14:textId="1D17386C"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Heading3"/>
        <w:rPr>
          <w:lang w:eastAsia="ko-KR"/>
        </w:rPr>
      </w:pPr>
      <w:r>
        <w:rPr>
          <w:lang w:eastAsia="ko-KR"/>
        </w:rPr>
        <w:t>Signalling of Polarisation</w:t>
      </w:r>
    </w:p>
    <w:p w14:paraId="3D32086D" w14:textId="654FDDF8"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lastRenderedPageBreak/>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xml:space="preserve">. For these configuration types, minimum enhancements for TCI state indication and beam measurements can be considered. These scenarios would be </w:t>
      </w:r>
      <w:proofErr w:type="gramStart"/>
      <w:r>
        <w:rPr>
          <w:lang w:eastAsia="ko-KR"/>
        </w:rPr>
        <w:t>sufficient</w:t>
      </w:r>
      <w:proofErr w:type="gramEnd"/>
      <w:r>
        <w:rPr>
          <w:lang w:eastAsia="ko-KR"/>
        </w:rPr>
        <w:t xml:space="preserve">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Heading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ListParagraph"/>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TableGrid"/>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BodyText"/>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71AA5714" w14:textId="2E743D16" w:rsidR="00C23214" w:rsidRDefault="001037F0" w:rsidP="00376D01">
            <w:pPr>
              <w:pStyle w:val="BodyText"/>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BodyText"/>
              <w:spacing w:line="256" w:lineRule="auto"/>
              <w:rPr>
                <w:rFonts w:eastAsia="MS Mincho" w:cs="Arial"/>
                <w:i/>
                <w:iCs/>
                <w:lang w:eastAsia="ja-JP"/>
              </w:rPr>
            </w:pPr>
            <w:r w:rsidRPr="001037F0">
              <w:rPr>
                <w:rFonts w:eastAsia="MS Mincho" w:cs="Arial"/>
                <w:i/>
                <w:iCs/>
                <w:lang w:eastAsia="ja-JP"/>
              </w:rPr>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BodyText"/>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proofErr w:type="gramStart"/>
            <w:r>
              <w:rPr>
                <w:rFonts w:eastAsia="MS Mincho" w:cs="Arial"/>
                <w:i/>
                <w:iCs/>
                <w:lang w:eastAsia="ja-JP"/>
              </w:rPr>
              <w:t>are</w:t>
            </w:r>
            <w:proofErr w:type="gramEnd"/>
            <w:r>
              <w:rPr>
                <w:rFonts w:eastAsia="MS Mincho" w:cs="Arial"/>
                <w:i/>
                <w:iCs/>
                <w:lang w:eastAsia="ja-JP"/>
              </w:rPr>
              <w:t xml:space="preserve"> for further discussion</w:t>
            </w:r>
          </w:p>
          <w:p w14:paraId="2F6D1737" w14:textId="20EF18B7" w:rsidR="00495082" w:rsidRPr="00495082" w:rsidRDefault="00495082" w:rsidP="00D10C45">
            <w:pPr>
              <w:pStyle w:val="BodyText"/>
              <w:spacing w:line="256" w:lineRule="auto"/>
              <w:rPr>
                <w:rFonts w:eastAsia="MS Mincho" w:cs="Arial"/>
                <w:lang w:eastAsia="ja-JP"/>
              </w:rPr>
            </w:pPr>
            <w:r>
              <w:rPr>
                <w:rFonts w:eastAsia="MS Mincho" w:cs="Arial"/>
                <w:lang w:eastAsia="ja-JP"/>
              </w:rPr>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70EC5193" w14:textId="50BF3560" w:rsidR="008337E6"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BodyText"/>
              <w:spacing w:line="256" w:lineRule="auto"/>
              <w:rPr>
                <w:rFonts w:cs="Arial"/>
              </w:rPr>
            </w:pPr>
            <w:r>
              <w:rPr>
                <w:rFonts w:cs="Arial"/>
              </w:rPr>
              <w:lastRenderedPageBreak/>
              <w:t>SS</w:t>
            </w:r>
          </w:p>
        </w:tc>
        <w:tc>
          <w:tcPr>
            <w:tcW w:w="7834" w:type="dxa"/>
          </w:tcPr>
          <w:p w14:paraId="10156BA0" w14:textId="3063446E" w:rsidR="00FE0768" w:rsidRDefault="001334D8" w:rsidP="00376D01">
            <w:pPr>
              <w:pStyle w:val="BodyText"/>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3FE650C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3923FA5" w14:textId="2174A93F"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Support the merged proposal by Panasonic.</w:t>
            </w:r>
          </w:p>
        </w:tc>
      </w:tr>
      <w:tr w:rsidR="00C94637" w14:paraId="501290B2" w14:textId="77777777" w:rsidTr="00376D01">
        <w:tc>
          <w:tcPr>
            <w:tcW w:w="1795" w:type="dxa"/>
          </w:tcPr>
          <w:p w14:paraId="707E64E8" w14:textId="1D680852"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3BF20E12" w14:textId="3B13E723" w:rsidR="00C94637" w:rsidRDefault="00C94637" w:rsidP="00C94637">
            <w:pPr>
              <w:pStyle w:val="BodyText"/>
              <w:spacing w:line="256" w:lineRule="auto"/>
              <w:rPr>
                <w:rFonts w:cs="Arial"/>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the revised version by Panasonic. </w:t>
            </w:r>
          </w:p>
        </w:tc>
      </w:tr>
      <w:tr w:rsidR="00C94637" w14:paraId="4CFF3FB7" w14:textId="77777777" w:rsidTr="00376D01">
        <w:tc>
          <w:tcPr>
            <w:tcW w:w="1795" w:type="dxa"/>
          </w:tcPr>
          <w:p w14:paraId="7345D36E" w14:textId="439FC543" w:rsidR="00C94637" w:rsidRPr="00C5515B" w:rsidRDefault="00C5515B" w:rsidP="00C94637">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32448881" w14:textId="2058A517" w:rsidR="00C94637" w:rsidRDefault="00C5515B" w:rsidP="00BE0022">
            <w:pPr>
              <w:autoSpaceDE w:val="0"/>
              <w:autoSpaceDN w:val="0"/>
              <w:adjustRightInd w:val="0"/>
              <w:snapToGrid w:val="0"/>
              <w:jc w:val="both"/>
              <w:rPr>
                <w:rFonts w:eastAsia="MS Mincho"/>
                <w:bCs/>
                <w:iCs/>
                <w:lang w:eastAsia="ja-JP"/>
              </w:rPr>
            </w:pPr>
            <w:r>
              <w:rPr>
                <w:rFonts w:eastAsia="MS Mincho"/>
                <w:bCs/>
                <w:iCs/>
                <w:lang w:eastAsia="ja-JP"/>
              </w:rPr>
              <w:t xml:space="preserve">Agree with the </w:t>
            </w:r>
            <w:r w:rsidR="00AA62A6">
              <w:rPr>
                <w:rFonts w:eastAsia="MS Mincho"/>
                <w:bCs/>
                <w:iCs/>
                <w:lang w:eastAsia="ja-JP"/>
              </w:rPr>
              <w:t xml:space="preserve">direction proposed by </w:t>
            </w:r>
            <w:r>
              <w:rPr>
                <w:rFonts w:eastAsia="MS Mincho"/>
                <w:bCs/>
                <w:iCs/>
                <w:lang w:eastAsia="ja-JP"/>
              </w:rPr>
              <w:t xml:space="preserve">Panasonic that the existing </w:t>
            </w:r>
            <w:r w:rsidR="00BE0022">
              <w:rPr>
                <w:rFonts w:eastAsia="MS Mincho"/>
                <w:bCs/>
                <w:iCs/>
                <w:lang w:eastAsia="ja-JP"/>
              </w:rPr>
              <w:t>mechanisms for</w:t>
            </w:r>
            <w:r>
              <w:rPr>
                <w:rFonts w:eastAsia="MS Mincho"/>
                <w:bCs/>
                <w:iCs/>
                <w:lang w:eastAsia="ja-JP"/>
              </w:rPr>
              <w:t xml:space="preserve"> beam </w:t>
            </w:r>
            <w:r w:rsidR="00AA62A6">
              <w:rPr>
                <w:rFonts w:eastAsia="MS Mincho"/>
                <w:bCs/>
                <w:iCs/>
                <w:lang w:eastAsia="ja-JP"/>
              </w:rPr>
              <w:t>management and BWP operation</w:t>
            </w:r>
            <w:r>
              <w:rPr>
                <w:rFonts w:eastAsia="MS Mincho"/>
                <w:bCs/>
                <w:iCs/>
                <w:lang w:eastAsia="ja-JP"/>
              </w:rPr>
              <w:t xml:space="preserve"> </w:t>
            </w:r>
            <w:r w:rsidR="00BE0022">
              <w:rPr>
                <w:rFonts w:eastAsia="MS Mincho"/>
                <w:bCs/>
                <w:iCs/>
                <w:lang w:eastAsia="ja-JP"/>
              </w:rPr>
              <w:t xml:space="preserve">are the baseline for NTN which is in line with general design principle that the </w:t>
            </w:r>
            <w:r w:rsidR="00AA62A6">
              <w:rPr>
                <w:rFonts w:eastAsia="MS Mincho"/>
                <w:bCs/>
                <w:iCs/>
                <w:lang w:eastAsia="ja-JP"/>
              </w:rPr>
              <w:t>existing NR spec</w:t>
            </w:r>
            <w:r w:rsidR="00BE0022">
              <w:rPr>
                <w:rFonts w:eastAsia="MS Mincho"/>
                <w:bCs/>
                <w:iCs/>
                <w:lang w:eastAsia="ja-JP"/>
              </w:rPr>
              <w:t xml:space="preserve"> should reused as much as possible. </w:t>
            </w:r>
            <w:r>
              <w:rPr>
                <w:rFonts w:eastAsia="MS Mincho"/>
                <w:bCs/>
                <w:iCs/>
                <w:lang w:eastAsia="ja-JP"/>
              </w:rPr>
              <w:t xml:space="preserve"> </w:t>
            </w:r>
            <w:r w:rsidR="00BE0022">
              <w:rPr>
                <w:rFonts w:eastAsia="MS Mincho"/>
                <w:bCs/>
                <w:iCs/>
                <w:lang w:eastAsia="ja-JP"/>
              </w:rPr>
              <w:t>Further enhancement</w:t>
            </w:r>
            <w:r>
              <w:rPr>
                <w:rFonts w:eastAsia="MS Mincho"/>
                <w:bCs/>
                <w:iCs/>
                <w:lang w:eastAsia="ja-JP"/>
              </w:rPr>
              <w:t xml:space="preserve"> </w:t>
            </w:r>
            <w:r w:rsidR="00BE0022">
              <w:rPr>
                <w:rFonts w:eastAsia="MS Mincho"/>
                <w:bCs/>
                <w:iCs/>
                <w:lang w:eastAsia="ja-JP"/>
              </w:rPr>
              <w:t xml:space="preserve">can be considered if the potential </w:t>
            </w:r>
            <w:r>
              <w:rPr>
                <w:rFonts w:eastAsia="MS Mincho"/>
                <w:bCs/>
                <w:iCs/>
                <w:lang w:eastAsia="ja-JP"/>
              </w:rPr>
              <w:t>benefit and specification impact</w:t>
            </w:r>
            <w:r w:rsidR="00BE0022">
              <w:rPr>
                <w:rFonts w:eastAsia="MS Mincho"/>
                <w:bCs/>
                <w:iCs/>
                <w:lang w:eastAsia="ja-JP"/>
              </w:rPr>
              <w:t xml:space="preserve"> are clearly elaborated</w:t>
            </w:r>
            <w:r w:rsidRPr="00552B6F">
              <w:rPr>
                <w:rFonts w:eastAsia="MS Mincho"/>
                <w:bCs/>
                <w:iCs/>
                <w:lang w:eastAsia="ja-JP"/>
              </w:rPr>
              <w:t>.</w:t>
            </w:r>
            <w:r w:rsidR="00AA62A6">
              <w:rPr>
                <w:rFonts w:eastAsia="MS Mincho"/>
                <w:bCs/>
                <w:iCs/>
                <w:lang w:eastAsia="ja-JP"/>
              </w:rPr>
              <w:t xml:space="preserve"> Suggested proposal below</w:t>
            </w:r>
          </w:p>
          <w:p w14:paraId="0A357A75" w14:textId="77777777" w:rsidR="00AA62A6" w:rsidRPr="001037F0" w:rsidRDefault="00AA62A6" w:rsidP="00AA62A6">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0A799D2" w14:textId="77777777" w:rsidR="00AA62A6" w:rsidRPr="001037F0" w:rsidRDefault="00AA62A6" w:rsidP="00AA62A6">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78C4D36B" w14:textId="151FEFB6" w:rsidR="00AA62A6" w:rsidRPr="00495082" w:rsidRDefault="00AA62A6" w:rsidP="00AA62A6">
            <w:pPr>
              <w:pStyle w:val="BodyText"/>
              <w:numPr>
                <w:ilvl w:val="0"/>
                <w:numId w:val="12"/>
              </w:numPr>
              <w:spacing w:line="256" w:lineRule="auto"/>
              <w:rPr>
                <w:rFonts w:eastAsia="MS Mincho" w:cs="Arial"/>
                <w:lang w:eastAsia="ja-JP"/>
              </w:rPr>
            </w:pPr>
            <w:r>
              <w:rPr>
                <w:rFonts w:eastAsia="MS Mincho" w:cs="Arial"/>
                <w:i/>
                <w:iCs/>
                <w:lang w:eastAsia="ja-JP"/>
              </w:rPr>
              <w:t xml:space="preserve">The </w:t>
            </w:r>
            <w:r>
              <w:rPr>
                <w:i/>
                <w:lang w:eastAsia="ko-KR"/>
              </w:rPr>
              <w:t>needs for</w:t>
            </w:r>
            <w:r w:rsidRPr="00AA62A6">
              <w:rPr>
                <w:i/>
                <w:lang w:eastAsia="ko-KR"/>
              </w:rPr>
              <w:t xml:space="preserve"> potential </w:t>
            </w:r>
            <w:r>
              <w:rPr>
                <w:i/>
                <w:lang w:eastAsia="ko-KR"/>
              </w:rPr>
              <w:t>enhancement on a</w:t>
            </w:r>
            <w:r>
              <w:rPr>
                <w:rFonts w:eastAsia="MS Mincho" w:cs="Arial"/>
                <w:i/>
                <w:iCs/>
                <w:lang w:eastAsia="ja-JP"/>
              </w:rPr>
              <w:t xml:space="preserve">ssociation of SSBs, beams and BWPs </w:t>
            </w:r>
            <w:r w:rsidRPr="00AA62A6">
              <w:rPr>
                <w:rFonts w:eastAsia="MS Mincho" w:cs="Arial"/>
                <w:i/>
                <w:iCs/>
                <w:lang w:eastAsia="ja-JP"/>
              </w:rPr>
              <w:t>a</w:t>
            </w:r>
            <w:r>
              <w:rPr>
                <w:rFonts w:eastAsia="MS Mincho" w:cs="Arial"/>
                <w:i/>
                <w:iCs/>
                <w:lang w:eastAsia="ja-JP"/>
              </w:rPr>
              <w:t>re for further discussion</w:t>
            </w:r>
          </w:p>
          <w:p w14:paraId="58CD09D6" w14:textId="50C90A18" w:rsidR="00AA62A6" w:rsidRPr="00AA62A6" w:rsidRDefault="00AA62A6" w:rsidP="00BE0022">
            <w:pPr>
              <w:autoSpaceDE w:val="0"/>
              <w:autoSpaceDN w:val="0"/>
              <w:adjustRightInd w:val="0"/>
              <w:snapToGrid w:val="0"/>
              <w:jc w:val="both"/>
              <w:rPr>
                <w:rFonts w:eastAsia="MS Mincho"/>
                <w:bCs/>
                <w:iCs/>
                <w:lang w:eastAsia="ja-JP"/>
              </w:rPr>
            </w:pPr>
          </w:p>
        </w:tc>
      </w:tr>
      <w:tr w:rsidR="00C94637" w14:paraId="5623DF8B" w14:textId="77777777" w:rsidTr="00376D01">
        <w:tc>
          <w:tcPr>
            <w:tcW w:w="1795" w:type="dxa"/>
          </w:tcPr>
          <w:p w14:paraId="773C3BAD" w14:textId="48C05C26" w:rsidR="00C94637" w:rsidRPr="0004491C" w:rsidRDefault="0004491C" w:rsidP="00C94637">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9F0059" w14:textId="7BAD6E2F" w:rsidR="0004491C" w:rsidRPr="0004491C" w:rsidRDefault="0004491C" w:rsidP="0004491C">
            <w:pPr>
              <w:pStyle w:val="BodyText"/>
              <w:spacing w:line="256" w:lineRule="auto"/>
              <w:rPr>
                <w:rFonts w:cs="Arial"/>
              </w:rPr>
            </w:pPr>
            <w:r w:rsidRPr="0004491C">
              <w:rPr>
                <w:rFonts w:cs="Arial"/>
              </w:rPr>
              <w:t xml:space="preserve">Agree with Panasonic’s proposal with first bullet as following:  </w:t>
            </w:r>
          </w:p>
          <w:p w14:paraId="79DF0412" w14:textId="476903F9" w:rsidR="0004491C" w:rsidRPr="0004491C" w:rsidRDefault="0004491C" w:rsidP="0004491C">
            <w:pPr>
              <w:pStyle w:val="BodyText"/>
              <w:spacing w:line="256" w:lineRule="auto"/>
              <w:rPr>
                <w:rFonts w:cs="Arial"/>
              </w:rPr>
            </w:pPr>
            <w:r w:rsidRPr="0004491C">
              <w:rPr>
                <w:rFonts w:cs="Arial"/>
              </w:rPr>
              <w:t xml:space="preserve">NTN operation with one-beam per cell and multiple-beam per cell are supported in existing NR specifications and are baseline for NR NTN. </w:t>
            </w:r>
          </w:p>
          <w:p w14:paraId="179ECA08" w14:textId="12DC8427" w:rsidR="0004491C" w:rsidRPr="0004491C" w:rsidRDefault="0004491C" w:rsidP="0004491C">
            <w:pPr>
              <w:pStyle w:val="BodyText"/>
              <w:numPr>
                <w:ilvl w:val="0"/>
                <w:numId w:val="39"/>
              </w:numPr>
              <w:spacing w:line="256" w:lineRule="auto"/>
              <w:rPr>
                <w:rFonts w:cs="Arial"/>
              </w:rPr>
            </w:pPr>
            <w:r w:rsidRPr="0004491C">
              <w:rPr>
                <w:rFonts w:cs="Arial"/>
              </w:rPr>
              <w:t xml:space="preserve">The needs for potential enhancement for TCI state indication and beam measurements are for further discussion  </w:t>
            </w:r>
          </w:p>
          <w:p w14:paraId="5CCA40C6" w14:textId="41B94589" w:rsidR="00C94637" w:rsidRDefault="0004491C" w:rsidP="0004491C">
            <w:pPr>
              <w:pStyle w:val="BodyText"/>
              <w:spacing w:line="256" w:lineRule="auto"/>
              <w:rPr>
                <w:rFonts w:cs="Arial"/>
              </w:rPr>
            </w:pPr>
            <w:r w:rsidRPr="0004491C">
              <w:rPr>
                <w:rFonts w:cs="Arial"/>
              </w:rPr>
              <w:t>Support proposal #4-2.</w:t>
            </w:r>
          </w:p>
        </w:tc>
      </w:tr>
      <w:tr w:rsidR="00C50BCE" w14:paraId="234CC634" w14:textId="77777777" w:rsidTr="00376D01">
        <w:tc>
          <w:tcPr>
            <w:tcW w:w="1795" w:type="dxa"/>
          </w:tcPr>
          <w:p w14:paraId="3943BBC0" w14:textId="0B2101CC" w:rsidR="00C50BCE" w:rsidRDefault="00C50BCE" w:rsidP="00C50BCE">
            <w:pPr>
              <w:pStyle w:val="BodyText"/>
              <w:spacing w:line="256" w:lineRule="auto"/>
              <w:rPr>
                <w:rFonts w:cs="Arial"/>
              </w:rPr>
            </w:pPr>
            <w:r>
              <w:rPr>
                <w:rFonts w:cs="Arial"/>
              </w:rPr>
              <w:t>Intel</w:t>
            </w:r>
          </w:p>
        </w:tc>
        <w:tc>
          <w:tcPr>
            <w:tcW w:w="7834" w:type="dxa"/>
          </w:tcPr>
          <w:p w14:paraId="76868FEF" w14:textId="0C4E9540" w:rsidR="00C50BCE" w:rsidRDefault="00C50BCE" w:rsidP="00C50BCE">
            <w:pPr>
              <w:pStyle w:val="BodyText"/>
              <w:spacing w:line="256" w:lineRule="auto"/>
              <w:rPr>
                <w:rFonts w:cs="Arial"/>
              </w:rPr>
            </w:pPr>
            <w:r>
              <w:rPr>
                <w:rFonts w:cs="Arial"/>
              </w:rPr>
              <w:t>Support proposal from Panasonic or modified wording proposed by Huawei, we don’t see big difference between those two versions.</w:t>
            </w:r>
          </w:p>
        </w:tc>
      </w:tr>
      <w:tr w:rsidR="00C50BCE" w14:paraId="453C9D9E" w14:textId="77777777" w:rsidTr="00376D01">
        <w:tc>
          <w:tcPr>
            <w:tcW w:w="1795" w:type="dxa"/>
          </w:tcPr>
          <w:p w14:paraId="535C6E77" w14:textId="222EED47" w:rsidR="00C50BCE" w:rsidRDefault="00454970" w:rsidP="00C50BCE">
            <w:pPr>
              <w:pStyle w:val="BodyText"/>
              <w:spacing w:line="256" w:lineRule="auto"/>
              <w:rPr>
                <w:rFonts w:cs="Arial"/>
              </w:rPr>
            </w:pPr>
            <w:r>
              <w:rPr>
                <w:rFonts w:cs="Arial"/>
              </w:rPr>
              <w:t>Ericsson</w:t>
            </w:r>
          </w:p>
        </w:tc>
        <w:tc>
          <w:tcPr>
            <w:tcW w:w="7834" w:type="dxa"/>
          </w:tcPr>
          <w:p w14:paraId="1C06A034" w14:textId="0BCFFCE5" w:rsidR="00C50BCE" w:rsidRDefault="00454970" w:rsidP="00C50BCE">
            <w:pPr>
              <w:pStyle w:val="BodyText"/>
              <w:spacing w:line="256" w:lineRule="auto"/>
              <w:rPr>
                <w:rFonts w:cs="Arial"/>
              </w:rPr>
            </w:pPr>
            <w:r w:rsidRPr="00454970">
              <w:rPr>
                <w:rFonts w:cs="Arial"/>
              </w:rPr>
              <w:t>The main bullet is not accurate: it should be “with one beam per cell or with multiple beams per cell”. In addition, the wording is not clear: there are many “with” in the main bullet. It is preferred to make the wording clearer.</w:t>
            </w:r>
          </w:p>
        </w:tc>
      </w:tr>
      <w:tr w:rsidR="00487182" w14:paraId="173A1E4B" w14:textId="77777777" w:rsidTr="00376D01">
        <w:tc>
          <w:tcPr>
            <w:tcW w:w="1795" w:type="dxa"/>
          </w:tcPr>
          <w:p w14:paraId="12D2DC8D" w14:textId="1FC12754"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3E63D6F4" w14:textId="478E8A92" w:rsidR="00487182" w:rsidRDefault="00487182" w:rsidP="00487182">
            <w:pPr>
              <w:pStyle w:val="BodyText"/>
              <w:spacing w:line="256" w:lineRule="auto"/>
              <w:rPr>
                <w:rFonts w:cs="Arial"/>
              </w:rPr>
            </w:pPr>
            <w:r>
              <w:rPr>
                <w:rFonts w:eastAsia="Malgun Gothic" w:cs="Arial"/>
                <w:lang w:eastAsia="ko-KR"/>
              </w:rPr>
              <w:t xml:space="preserve">Agree with Panasonic </w:t>
            </w:r>
            <w:r>
              <w:rPr>
                <w:rFonts w:eastAsia="Malgun Gothic" w:cs="Arial" w:hint="eastAsia"/>
                <w:lang w:eastAsia="ko-KR"/>
              </w:rPr>
              <w:t>in principle</w:t>
            </w:r>
            <w:r>
              <w:rPr>
                <w:rFonts w:eastAsia="Malgun Gothic" w:cs="Arial"/>
                <w:lang w:eastAsia="ko-KR"/>
              </w:rPr>
              <w:t xml:space="preserve">. We agree with medication from Ericsson for main bullet.  </w:t>
            </w:r>
          </w:p>
        </w:tc>
      </w:tr>
      <w:tr w:rsidR="003160D4" w14:paraId="2D8E7BE2" w14:textId="77777777" w:rsidTr="00376D01">
        <w:tc>
          <w:tcPr>
            <w:tcW w:w="1795" w:type="dxa"/>
          </w:tcPr>
          <w:p w14:paraId="520834CC" w14:textId="4E335C9A" w:rsidR="003160D4" w:rsidRDefault="003160D4" w:rsidP="00487182">
            <w:pPr>
              <w:pStyle w:val="BodyText"/>
              <w:spacing w:line="256" w:lineRule="auto"/>
              <w:rPr>
                <w:rFonts w:eastAsia="Malgun Gothic" w:cs="Arial"/>
                <w:lang w:eastAsia="ko-KR"/>
              </w:rPr>
            </w:pPr>
            <w:r>
              <w:rPr>
                <w:rFonts w:eastAsia="Malgun Gothic" w:cs="Arial"/>
                <w:lang w:eastAsia="ko-KR"/>
              </w:rPr>
              <w:t>OPPO</w:t>
            </w:r>
          </w:p>
        </w:tc>
        <w:tc>
          <w:tcPr>
            <w:tcW w:w="7834" w:type="dxa"/>
          </w:tcPr>
          <w:p w14:paraId="1FDE4875" w14:textId="400A382F" w:rsidR="003160D4" w:rsidRDefault="003160D4" w:rsidP="00487182">
            <w:pPr>
              <w:pStyle w:val="BodyText"/>
              <w:spacing w:line="256" w:lineRule="auto"/>
              <w:rPr>
                <w:rFonts w:eastAsia="Malgun Gothic" w:cs="Arial"/>
                <w:lang w:eastAsia="ko-KR"/>
              </w:rPr>
            </w:pPr>
            <w:r>
              <w:rPr>
                <w:rFonts w:eastAsia="Malgun Gothic" w:cs="Arial" w:hint="eastAsia"/>
                <w:lang w:eastAsia="ko-KR"/>
              </w:rPr>
              <w:t>F</w:t>
            </w:r>
            <w:r>
              <w:rPr>
                <w:rFonts w:eastAsia="Malgun Gothic" w:cs="Arial"/>
                <w:lang w:eastAsia="ko-KR"/>
              </w:rPr>
              <w:t xml:space="preserve">ine with proposal 4-1 and 4-2. </w:t>
            </w:r>
          </w:p>
        </w:tc>
      </w:tr>
      <w:tr w:rsidR="00444EE6" w14:paraId="24D98987" w14:textId="77777777" w:rsidTr="00376D01">
        <w:tc>
          <w:tcPr>
            <w:tcW w:w="1795" w:type="dxa"/>
          </w:tcPr>
          <w:p w14:paraId="5457A191" w14:textId="78DA005B" w:rsidR="00444EE6" w:rsidRDefault="00444EE6"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40DE2260" w14:textId="5E4C9FD0" w:rsidR="00444EE6" w:rsidRDefault="00444EE6" w:rsidP="00487182">
            <w:pPr>
              <w:pStyle w:val="BodyText"/>
              <w:spacing w:line="256" w:lineRule="auto"/>
              <w:rPr>
                <w:rFonts w:eastAsia="Malgun Gothic" w:cs="Arial"/>
                <w:lang w:eastAsia="ko-KR"/>
              </w:rPr>
            </w:pPr>
            <w:r w:rsidRPr="00A63966">
              <w:rPr>
                <w:rFonts w:eastAsia="Malgun Gothic" w:cs="Arial"/>
                <w:lang w:eastAsia="ko-KR"/>
              </w:rPr>
              <w:t xml:space="preserve">Agree with </w:t>
            </w:r>
            <w:r>
              <w:rPr>
                <w:rFonts w:cs="Arial"/>
              </w:rPr>
              <w:t xml:space="preserve">Ericsson, </w:t>
            </w:r>
            <w:proofErr w:type="gramStart"/>
            <w:r>
              <w:rPr>
                <w:rFonts w:cs="Arial"/>
              </w:rPr>
              <w:t>It</w:t>
            </w:r>
            <w:proofErr w:type="gramEnd"/>
            <w:r>
              <w:rPr>
                <w:rFonts w:cs="Arial"/>
              </w:rPr>
              <w:t xml:space="preserve"> is preferred to clarify the proposal</w:t>
            </w:r>
          </w:p>
        </w:tc>
      </w:tr>
      <w:tr w:rsidR="005F0449" w14:paraId="4B2CF3FF" w14:textId="77777777" w:rsidTr="00376D01">
        <w:tc>
          <w:tcPr>
            <w:tcW w:w="1795" w:type="dxa"/>
          </w:tcPr>
          <w:p w14:paraId="7A7EC778" w14:textId="09D13A4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6CB73303" w14:textId="6D2C4E49" w:rsidR="005F0449" w:rsidRPr="00A63966" w:rsidRDefault="005F0449" w:rsidP="00487182">
            <w:pPr>
              <w:pStyle w:val="BodyText"/>
              <w:spacing w:line="256" w:lineRule="auto"/>
              <w:rPr>
                <w:rFonts w:eastAsia="Malgun Gothic" w:cs="Arial"/>
                <w:lang w:eastAsia="ko-KR"/>
              </w:rPr>
            </w:pPr>
            <w:r>
              <w:rPr>
                <w:rFonts w:eastAsia="Malgun Gothic" w:cs="Arial"/>
                <w:lang w:eastAsia="ko-KR"/>
              </w:rPr>
              <w:t>Agree with Ericsson</w:t>
            </w:r>
            <w:r w:rsidR="00BF2DC2">
              <w:rPr>
                <w:rFonts w:eastAsia="Malgun Gothic" w:cs="Arial"/>
                <w:lang w:eastAsia="ko-KR"/>
              </w:rPr>
              <w:t xml:space="preserve"> the proposal</w:t>
            </w:r>
            <w:r>
              <w:rPr>
                <w:rFonts w:eastAsia="Malgun Gothic" w:cs="Arial"/>
                <w:lang w:eastAsia="ko-KR"/>
              </w:rPr>
              <w:t xml:space="preserve"> is not clear</w:t>
            </w:r>
            <w:r w:rsidR="00BF2DC2">
              <w:rPr>
                <w:rFonts w:eastAsia="Malgun Gothic" w:cs="Arial"/>
                <w:lang w:eastAsia="ko-KR"/>
              </w:rPr>
              <w:t xml:space="preserve">. Also, multiple beams per cell is not agreed yet. </w:t>
            </w:r>
            <w:r>
              <w:rPr>
                <w:rFonts w:eastAsia="Malgun Gothic" w:cs="Arial"/>
                <w:lang w:eastAsia="ko-KR"/>
              </w:rPr>
              <w:t xml:space="preserve"> </w:t>
            </w:r>
          </w:p>
        </w:tc>
      </w:tr>
      <w:tr w:rsidR="0010607A" w14:paraId="68D973E4" w14:textId="77777777" w:rsidTr="00376D01">
        <w:tc>
          <w:tcPr>
            <w:tcW w:w="1795" w:type="dxa"/>
          </w:tcPr>
          <w:p w14:paraId="34CCB609" w14:textId="793FCF7C"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300E286E" w14:textId="4F284189" w:rsidR="009C045E" w:rsidRDefault="009C045E" w:rsidP="009C045E">
            <w:pPr>
              <w:pStyle w:val="BodyText"/>
              <w:spacing w:line="256" w:lineRule="auto"/>
              <w:rPr>
                <w:rFonts w:eastAsia="Malgun Gothic" w:cs="Arial"/>
                <w:lang w:eastAsia="ko-KR"/>
              </w:rPr>
            </w:pPr>
            <w:r>
              <w:rPr>
                <w:rFonts w:eastAsia="Malgun Gothic" w:cs="Arial"/>
                <w:lang w:eastAsia="ko-KR"/>
              </w:rPr>
              <w:t>We also think it is fine to merge proposals #4-1 and #4-2 as suggested by Panasonic and Huawei</w:t>
            </w:r>
            <w:r w:rsidR="0010607A">
              <w:rPr>
                <w:rFonts w:eastAsia="Malgun Gothic" w:cs="Arial"/>
                <w:lang w:eastAsia="ko-KR"/>
              </w:rPr>
              <w:t xml:space="preserve">. </w:t>
            </w:r>
            <w:r>
              <w:rPr>
                <w:rFonts w:eastAsia="Malgun Gothic" w:cs="Arial"/>
                <w:lang w:eastAsia="ko-KR"/>
              </w:rPr>
              <w:t>However, we think the scope of discussions is too narrow for the second bullet and would propose further revision.</w:t>
            </w:r>
          </w:p>
          <w:p w14:paraId="51B5C595" w14:textId="5666FF48" w:rsidR="009C045E" w:rsidRPr="001037F0" w:rsidRDefault="009C045E" w:rsidP="009C045E">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569BA79" w14:textId="77777777" w:rsidR="009C045E" w:rsidRPr="001037F0" w:rsidRDefault="009C045E" w:rsidP="009C045E">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2C703CCE" w14:textId="1585F582" w:rsidR="0010607A" w:rsidRPr="009C045E" w:rsidRDefault="009C045E" w:rsidP="009C045E">
            <w:pPr>
              <w:pStyle w:val="BodyText"/>
              <w:numPr>
                <w:ilvl w:val="0"/>
                <w:numId w:val="12"/>
              </w:numPr>
              <w:spacing w:line="256" w:lineRule="auto"/>
              <w:rPr>
                <w:rFonts w:eastAsia="MS Mincho" w:cs="Arial"/>
                <w:lang w:eastAsia="ja-JP"/>
              </w:rPr>
            </w:pPr>
            <w:r>
              <w:rPr>
                <w:rFonts w:eastAsia="MS Mincho" w:cs="Arial"/>
                <w:i/>
                <w:iCs/>
                <w:lang w:eastAsia="ja-JP"/>
              </w:rPr>
              <w:t xml:space="preserve">The needs for potential enhancements for association of SSB, beams and BWPs including the number of beams and initial cell-specific BWP or initial beam-specific </w:t>
            </w:r>
            <w:proofErr w:type="gramStart"/>
            <w:r>
              <w:rPr>
                <w:rFonts w:eastAsia="MS Mincho" w:cs="Arial"/>
                <w:i/>
                <w:iCs/>
                <w:lang w:eastAsia="ja-JP"/>
              </w:rPr>
              <w:t>BWPs  are</w:t>
            </w:r>
            <w:proofErr w:type="gramEnd"/>
            <w:r>
              <w:rPr>
                <w:rFonts w:eastAsia="MS Mincho" w:cs="Arial"/>
                <w:i/>
                <w:iCs/>
                <w:lang w:eastAsia="ja-JP"/>
              </w:rPr>
              <w:t xml:space="preserve"> for further discussion</w:t>
            </w:r>
          </w:p>
        </w:tc>
      </w:tr>
      <w:tr w:rsidR="000D7774" w14:paraId="1A5D2BAC" w14:textId="77777777" w:rsidTr="00376D01">
        <w:tc>
          <w:tcPr>
            <w:tcW w:w="1795" w:type="dxa"/>
          </w:tcPr>
          <w:p w14:paraId="20BE95E7" w14:textId="272A5A5D" w:rsidR="000D7774" w:rsidRDefault="000D7774" w:rsidP="000D7774">
            <w:pPr>
              <w:pStyle w:val="BodyText"/>
              <w:spacing w:line="256" w:lineRule="auto"/>
              <w:rPr>
                <w:rFonts w:eastAsia="Malgun Gothic" w:cs="Arial"/>
                <w:lang w:eastAsia="ko-KR"/>
              </w:rPr>
            </w:pPr>
            <w:r>
              <w:rPr>
                <w:rFonts w:eastAsia="Malgun Gothic" w:cs="Arial"/>
                <w:lang w:eastAsia="ko-KR"/>
              </w:rPr>
              <w:lastRenderedPageBreak/>
              <w:t>Nokia</w:t>
            </w:r>
          </w:p>
        </w:tc>
        <w:tc>
          <w:tcPr>
            <w:tcW w:w="7834" w:type="dxa"/>
          </w:tcPr>
          <w:p w14:paraId="4A898FC4" w14:textId="1ED95A5C" w:rsidR="000D7774" w:rsidRDefault="000D7774" w:rsidP="000D7774">
            <w:pPr>
              <w:pStyle w:val="BodyText"/>
              <w:spacing w:line="256" w:lineRule="auto"/>
              <w:rPr>
                <w:rFonts w:eastAsia="Malgun Gothic" w:cs="Arial"/>
                <w:lang w:eastAsia="ko-KR"/>
              </w:rPr>
            </w:pPr>
            <w:r>
              <w:rPr>
                <w:rFonts w:eastAsia="Malgun Gothic" w:cs="Arial"/>
                <w:lang w:eastAsia="ko-KR"/>
              </w:rPr>
              <w:t>Support in principle the proposal from Huawei. Existing mechanisms should be reused as much as possible. One editorial, for further study is normally put as FFS: in the beginning of a bullet for easier identification of topics to handle later.</w:t>
            </w:r>
          </w:p>
        </w:tc>
      </w:tr>
      <w:tr w:rsidR="005F0449" w14:paraId="062050D4" w14:textId="77777777" w:rsidTr="00376D01">
        <w:tc>
          <w:tcPr>
            <w:tcW w:w="1795" w:type="dxa"/>
          </w:tcPr>
          <w:p w14:paraId="73BEB078" w14:textId="77777777" w:rsidR="005F0449" w:rsidRDefault="005F0449" w:rsidP="00487182">
            <w:pPr>
              <w:pStyle w:val="BodyText"/>
              <w:spacing w:line="256" w:lineRule="auto"/>
              <w:rPr>
                <w:rFonts w:eastAsia="Malgun Gothic" w:cs="Arial"/>
                <w:lang w:eastAsia="ko-KR"/>
              </w:rPr>
            </w:pPr>
          </w:p>
        </w:tc>
        <w:tc>
          <w:tcPr>
            <w:tcW w:w="7834" w:type="dxa"/>
          </w:tcPr>
          <w:p w14:paraId="7584E3B3" w14:textId="77777777" w:rsidR="005F0449" w:rsidRDefault="005F0449" w:rsidP="00487182">
            <w:pPr>
              <w:pStyle w:val="BodyText"/>
              <w:spacing w:line="256" w:lineRule="auto"/>
              <w:rPr>
                <w:rFonts w:eastAsia="Malgun Gothic" w:cs="Arial"/>
                <w:lang w:eastAsia="ko-KR"/>
              </w:rPr>
            </w:pP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Heading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TableGrid"/>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BodyText"/>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BodyText"/>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BodyText"/>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BodyText"/>
              <w:spacing w:line="256" w:lineRule="auto"/>
              <w:rPr>
                <w:rFonts w:eastAsiaTheme="minorEastAsia" w:cs="Arial"/>
                <w:lang w:eastAsia="zh-CN"/>
              </w:rPr>
            </w:pPr>
            <w:r>
              <w:rPr>
                <w:rFonts w:eastAsiaTheme="minorEastAsia" w:cs="Arial"/>
                <w:lang w:eastAsia="zh-CN"/>
              </w:rPr>
              <w:t xml:space="preserve">Current mechanism should be the baseline and further discussion to justify the necessity for each </w:t>
            </w:r>
            <w:proofErr w:type="gramStart"/>
            <w:r>
              <w:rPr>
                <w:rFonts w:eastAsiaTheme="minorEastAsia" w:cs="Arial"/>
                <w:lang w:eastAsia="zh-CN"/>
              </w:rPr>
              <w:t>changes</w:t>
            </w:r>
            <w:proofErr w:type="gramEnd"/>
            <w:r>
              <w:rPr>
                <w:rFonts w:eastAsiaTheme="minorEastAsia" w:cs="Arial"/>
                <w:lang w:eastAsia="zh-CN"/>
              </w:rPr>
              <w:t xml:space="preserve">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BodyText"/>
              <w:spacing w:line="256" w:lineRule="auto"/>
              <w:rPr>
                <w:rFonts w:cs="Arial"/>
              </w:rPr>
            </w:pPr>
            <w:r>
              <w:rPr>
                <w:rFonts w:cs="Arial"/>
              </w:rPr>
              <w:t>SS</w:t>
            </w:r>
          </w:p>
        </w:tc>
        <w:tc>
          <w:tcPr>
            <w:tcW w:w="7834" w:type="dxa"/>
          </w:tcPr>
          <w:p w14:paraId="72DBF5A3" w14:textId="3E0C904C" w:rsidR="00FE0768" w:rsidRDefault="001334D8" w:rsidP="00376D01">
            <w:pPr>
              <w:pStyle w:val="BodyText"/>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138D9DD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87201E6" w14:textId="54804680"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 xml:space="preserve">We think BWP </w:t>
            </w:r>
            <w:r w:rsidRPr="00924ADF">
              <w:rPr>
                <w:lang w:eastAsia="ko-KR"/>
              </w:rPr>
              <w:t>Activation/De-activation</w:t>
            </w:r>
            <w:r>
              <w:rPr>
                <w:rFonts w:eastAsiaTheme="minorEastAsia" w:hint="eastAsia"/>
                <w:lang w:eastAsia="zh-CN"/>
              </w:rPr>
              <w:t xml:space="preserve"> can be </w:t>
            </w:r>
            <w:r>
              <w:rPr>
                <w:rFonts w:eastAsiaTheme="minorEastAsia"/>
                <w:lang w:eastAsia="zh-CN"/>
              </w:rPr>
              <w:t>independent</w:t>
            </w:r>
            <w:r>
              <w:rPr>
                <w:rFonts w:eastAsiaTheme="minorEastAsia" w:hint="eastAsia"/>
                <w:lang w:eastAsia="zh-CN"/>
              </w:rPr>
              <w:t xml:space="preserve"> with SSB </w:t>
            </w:r>
            <w:r>
              <w:rPr>
                <w:rFonts w:eastAsiaTheme="minorEastAsia"/>
                <w:lang w:eastAsia="zh-CN"/>
              </w:rPr>
              <w:t>arrangement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general, SSB configuration is linked to RRC-IDLE UE, but BWP </w:t>
            </w:r>
            <w:r>
              <w:rPr>
                <w:rFonts w:eastAsiaTheme="minorEastAsia"/>
                <w:lang w:eastAsia="zh-CN"/>
              </w:rPr>
              <w:t>Activation/De-activation is more related to RRC-Connected UE.</w:t>
            </w:r>
          </w:p>
        </w:tc>
      </w:tr>
      <w:tr w:rsidR="00C94637" w14:paraId="4290E088" w14:textId="77777777" w:rsidTr="00376D01">
        <w:tc>
          <w:tcPr>
            <w:tcW w:w="1795" w:type="dxa"/>
          </w:tcPr>
          <w:p w14:paraId="0787846F" w14:textId="3CDCCD04"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74F05244" w14:textId="7DB1D74F" w:rsidR="00C94637" w:rsidRDefault="00C94637" w:rsidP="00C94637">
            <w:pPr>
              <w:pStyle w:val="BodyText"/>
              <w:spacing w:line="256" w:lineRule="auto"/>
              <w:rPr>
                <w:rFonts w:cs="Arial"/>
              </w:rPr>
            </w:pPr>
            <w:r w:rsidRPr="0038577F">
              <w:rPr>
                <w:lang w:eastAsia="ko-KR"/>
              </w:rPr>
              <w:t xml:space="preserve">Agree </w:t>
            </w:r>
            <w:r>
              <w:rPr>
                <w:lang w:eastAsia="ko-KR"/>
              </w:rPr>
              <w:t xml:space="preserve">to wait for further discussions and agreement on beam management for </w:t>
            </w:r>
            <w:r w:rsidRPr="00FF34EC">
              <w:rPr>
                <w:lang w:eastAsia="ko-KR"/>
              </w:rPr>
              <w:t>SSB arrangement, satellite beam and BWP mapping</w:t>
            </w:r>
            <w:r>
              <w:rPr>
                <w:lang w:eastAsia="ko-KR"/>
              </w:rPr>
              <w:t xml:space="preserve"> before discussing BWP mechanisms</w:t>
            </w:r>
          </w:p>
        </w:tc>
      </w:tr>
      <w:tr w:rsidR="00BE0022" w14:paraId="799784A5" w14:textId="77777777" w:rsidTr="00376D01">
        <w:tc>
          <w:tcPr>
            <w:tcW w:w="1795" w:type="dxa"/>
          </w:tcPr>
          <w:p w14:paraId="4B02958D" w14:textId="318C42EC"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D301B63" w14:textId="7A042834" w:rsidR="00BE0022" w:rsidRDefault="00B64212" w:rsidP="00B64212">
            <w:pPr>
              <w:pStyle w:val="BodyText"/>
              <w:spacing w:line="256" w:lineRule="auto"/>
              <w:rPr>
                <w:rFonts w:cs="Arial"/>
              </w:rPr>
            </w:pPr>
            <w:r>
              <w:rPr>
                <w:rFonts w:cs="Arial"/>
              </w:rPr>
              <w:t xml:space="preserve">Potential enhancements on </w:t>
            </w:r>
            <w:r w:rsidR="00BE0022">
              <w:rPr>
                <w:rFonts w:cs="Arial"/>
              </w:rPr>
              <w:t xml:space="preserve">BWP </w:t>
            </w:r>
            <w:r>
              <w:rPr>
                <w:rFonts w:cs="Arial"/>
              </w:rPr>
              <w:t xml:space="preserve">configurations and operation </w:t>
            </w:r>
            <w:r w:rsidR="00BE0022">
              <w:rPr>
                <w:rFonts w:cs="Arial"/>
              </w:rPr>
              <w:t xml:space="preserve">can be studied together with </w:t>
            </w:r>
            <w:r w:rsidR="00BE0022" w:rsidRPr="00546510">
              <w:rPr>
                <w:rFonts w:cs="Arial"/>
              </w:rPr>
              <w:t>Proposal #4-1</w:t>
            </w:r>
            <w:r w:rsidR="00BE0022">
              <w:rPr>
                <w:rFonts w:cs="Arial"/>
              </w:rPr>
              <w:t xml:space="preserve"> and Proposal #4-2.</w:t>
            </w:r>
          </w:p>
        </w:tc>
      </w:tr>
      <w:tr w:rsidR="00BE0022" w14:paraId="3E3E1571" w14:textId="77777777" w:rsidTr="00376D01">
        <w:tc>
          <w:tcPr>
            <w:tcW w:w="1795" w:type="dxa"/>
          </w:tcPr>
          <w:p w14:paraId="44C8AC6C" w14:textId="06870CE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18B7616" w14:textId="6FB8AC6C"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his issue can be discussed after further discussion and agreement on issue 4.4.1 Beam management. </w:t>
            </w:r>
          </w:p>
        </w:tc>
      </w:tr>
      <w:tr w:rsidR="00282533" w14:paraId="2BFE5669" w14:textId="77777777" w:rsidTr="00376D01">
        <w:tc>
          <w:tcPr>
            <w:tcW w:w="1795" w:type="dxa"/>
          </w:tcPr>
          <w:p w14:paraId="6EC955A8" w14:textId="48C79271" w:rsidR="00282533" w:rsidRDefault="00282533" w:rsidP="00282533">
            <w:pPr>
              <w:pStyle w:val="BodyText"/>
              <w:spacing w:line="256" w:lineRule="auto"/>
              <w:rPr>
                <w:rFonts w:cs="Arial"/>
              </w:rPr>
            </w:pPr>
            <w:r>
              <w:rPr>
                <w:rFonts w:cs="Arial"/>
              </w:rPr>
              <w:t>Intel</w:t>
            </w:r>
          </w:p>
        </w:tc>
        <w:tc>
          <w:tcPr>
            <w:tcW w:w="7834" w:type="dxa"/>
          </w:tcPr>
          <w:p w14:paraId="3CE8046B" w14:textId="2B49DDD5" w:rsidR="00282533" w:rsidRDefault="00282533" w:rsidP="00282533">
            <w:pPr>
              <w:pStyle w:val="BodyText"/>
              <w:spacing w:line="256" w:lineRule="auto"/>
              <w:rPr>
                <w:rFonts w:cs="Arial"/>
              </w:rPr>
            </w:pPr>
            <w:r>
              <w:rPr>
                <w:rFonts w:cs="Arial"/>
              </w:rPr>
              <w:t>Agree that BWP can be discussed together with beam management with the understanding that Rel. 15 is baseline.</w:t>
            </w:r>
          </w:p>
        </w:tc>
      </w:tr>
      <w:tr w:rsidR="00282533" w14:paraId="58B3DC58" w14:textId="77777777" w:rsidTr="00376D01">
        <w:tc>
          <w:tcPr>
            <w:tcW w:w="1795" w:type="dxa"/>
          </w:tcPr>
          <w:p w14:paraId="5745D64E" w14:textId="45043F46" w:rsidR="00282533" w:rsidRDefault="00F64F43" w:rsidP="00282533">
            <w:pPr>
              <w:pStyle w:val="BodyText"/>
              <w:spacing w:line="256" w:lineRule="auto"/>
              <w:rPr>
                <w:rFonts w:cs="Arial"/>
              </w:rPr>
            </w:pPr>
            <w:r>
              <w:rPr>
                <w:rFonts w:cs="Arial"/>
              </w:rPr>
              <w:t>Ericsson</w:t>
            </w:r>
          </w:p>
        </w:tc>
        <w:tc>
          <w:tcPr>
            <w:tcW w:w="7834" w:type="dxa"/>
          </w:tcPr>
          <w:p w14:paraId="2D3B5836" w14:textId="7C1275A0" w:rsidR="00282533" w:rsidRDefault="00F64F43" w:rsidP="00282533">
            <w:pPr>
              <w:pStyle w:val="BodyText"/>
              <w:spacing w:line="256" w:lineRule="auto"/>
              <w:rPr>
                <w:rFonts w:cs="Arial"/>
              </w:rPr>
            </w:pPr>
            <w:r w:rsidRPr="00F64F43">
              <w:rPr>
                <w:rFonts w:cs="Arial"/>
              </w:rPr>
              <w:t>This proposal is not necessary. The discussion can be part of Proposal 4-1 already</w:t>
            </w:r>
          </w:p>
        </w:tc>
      </w:tr>
      <w:tr w:rsidR="00487182" w14:paraId="57CF504A" w14:textId="77777777" w:rsidTr="00376D01">
        <w:tc>
          <w:tcPr>
            <w:tcW w:w="1795" w:type="dxa"/>
          </w:tcPr>
          <w:p w14:paraId="7CE2E0A9" w14:textId="558C9F7D"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6D1C069" w14:textId="0ECF648A" w:rsidR="00487182" w:rsidRDefault="00487182" w:rsidP="00487182">
            <w:pPr>
              <w:pStyle w:val="BodyText"/>
              <w:spacing w:line="256" w:lineRule="auto"/>
              <w:rPr>
                <w:rFonts w:cs="Arial"/>
              </w:rPr>
            </w:pPr>
            <w:r>
              <w:rPr>
                <w:rFonts w:eastAsia="Malgun Gothic" w:cs="Arial"/>
                <w:lang w:eastAsia="ko-KR"/>
              </w:rPr>
              <w:t>Agree with FL’s assessment that this issue can be discussed after resolving issue 4.4.1.</w:t>
            </w:r>
          </w:p>
        </w:tc>
      </w:tr>
      <w:tr w:rsidR="00F80137" w14:paraId="65B3F8E8" w14:textId="77777777" w:rsidTr="00376D01">
        <w:tc>
          <w:tcPr>
            <w:tcW w:w="1795" w:type="dxa"/>
          </w:tcPr>
          <w:p w14:paraId="2AD61579" w14:textId="55E2AE8E" w:rsidR="00F80137" w:rsidRDefault="00F80137"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20284F7" w14:textId="744F5DF1" w:rsidR="00F80137" w:rsidRDefault="00F80137" w:rsidP="00487182">
            <w:pPr>
              <w:pStyle w:val="BodyText"/>
              <w:spacing w:line="256" w:lineRule="auto"/>
              <w:rPr>
                <w:rFonts w:eastAsia="Malgun Gothic" w:cs="Arial"/>
                <w:lang w:eastAsia="ko-KR"/>
              </w:rPr>
            </w:pPr>
            <w:r w:rsidRPr="007B7963">
              <w:rPr>
                <w:rFonts w:eastAsia="Malgun Gothic" w:cs="Arial"/>
                <w:lang w:eastAsia="ko-KR"/>
              </w:rPr>
              <w:t>Agree. As for beam management, current mechanism of BWP configuration and activation/deactivation should be considered as baseline for NTN WI. Possible enhancements can be discussed but the associated specs impacts shall also be clearly identified before taking any decision.</w:t>
            </w:r>
          </w:p>
        </w:tc>
      </w:tr>
      <w:tr w:rsidR="009C045E" w14:paraId="4E90861E" w14:textId="77777777" w:rsidTr="00376D01">
        <w:tc>
          <w:tcPr>
            <w:tcW w:w="1795" w:type="dxa"/>
          </w:tcPr>
          <w:p w14:paraId="4DBE20D1" w14:textId="19761893" w:rsidR="009C045E" w:rsidRDefault="009C045E"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11FDBEE1" w14:textId="2A20FFB7" w:rsidR="009C045E" w:rsidRPr="007B7963" w:rsidRDefault="005F7604" w:rsidP="005F7604">
            <w:pPr>
              <w:pStyle w:val="BodyText"/>
              <w:spacing w:line="256" w:lineRule="auto"/>
              <w:rPr>
                <w:rFonts w:eastAsia="Malgun Gothic" w:cs="Arial"/>
                <w:lang w:eastAsia="ko-KR"/>
              </w:rPr>
            </w:pPr>
            <w:r>
              <w:rPr>
                <w:rFonts w:eastAsia="Malgun Gothic" w:cs="Arial"/>
                <w:lang w:eastAsia="ko-KR"/>
              </w:rPr>
              <w:t xml:space="preserve">First discuss BWPs in </w:t>
            </w:r>
            <w:r w:rsidRPr="005F7604">
              <w:rPr>
                <w:rFonts w:eastAsia="Malgun Gothic" w:cs="Arial"/>
                <w:lang w:eastAsia="ko-KR"/>
              </w:rPr>
              <w:t>Proposal #4-1 and Proposal #4-2</w:t>
            </w:r>
            <w:r>
              <w:rPr>
                <w:rFonts w:eastAsia="Malgun Gothic" w:cs="Arial"/>
                <w:lang w:eastAsia="ko-KR"/>
              </w:rPr>
              <w:t xml:space="preserve"> in 4.4.1</w:t>
            </w:r>
          </w:p>
        </w:tc>
      </w:tr>
      <w:tr w:rsidR="000D7774" w14:paraId="38E0DDAC" w14:textId="77777777" w:rsidTr="00376D01">
        <w:tc>
          <w:tcPr>
            <w:tcW w:w="1795" w:type="dxa"/>
          </w:tcPr>
          <w:p w14:paraId="05868BB3" w14:textId="1E85F135" w:rsidR="000D7774" w:rsidRDefault="000D7774" w:rsidP="000D7774">
            <w:pPr>
              <w:pStyle w:val="BodyText"/>
              <w:spacing w:line="256" w:lineRule="auto"/>
              <w:rPr>
                <w:rFonts w:eastAsia="Malgun Gothic" w:cs="Arial"/>
                <w:lang w:eastAsia="ko-KR"/>
              </w:rPr>
            </w:pPr>
            <w:r>
              <w:rPr>
                <w:rFonts w:eastAsia="Malgun Gothic" w:cs="Arial"/>
                <w:lang w:eastAsia="ko-KR"/>
              </w:rPr>
              <w:t>Nokia</w:t>
            </w:r>
          </w:p>
        </w:tc>
        <w:tc>
          <w:tcPr>
            <w:tcW w:w="7834" w:type="dxa"/>
          </w:tcPr>
          <w:p w14:paraId="15AA147E" w14:textId="13834A9C" w:rsidR="000D7774" w:rsidRDefault="000D7774" w:rsidP="000D7774">
            <w:pPr>
              <w:pStyle w:val="BodyText"/>
              <w:spacing w:line="256" w:lineRule="auto"/>
              <w:rPr>
                <w:rFonts w:eastAsia="Malgun Gothic" w:cs="Arial"/>
                <w:lang w:eastAsia="ko-KR"/>
              </w:rPr>
            </w:pPr>
            <w:r>
              <w:rPr>
                <w:rFonts w:eastAsia="Malgun Gothic" w:cs="Arial"/>
                <w:lang w:eastAsia="ko-KR"/>
              </w:rPr>
              <w:t>Agree with Samsung that benefits should be clear before making specs modifications.</w:t>
            </w:r>
          </w:p>
        </w:tc>
      </w:tr>
    </w:tbl>
    <w:p w14:paraId="2B848F71" w14:textId="77777777" w:rsidR="00FE0768" w:rsidRPr="00924ADF" w:rsidRDefault="00FE0768" w:rsidP="00F74755">
      <w:pPr>
        <w:rPr>
          <w:lang w:eastAsia="ko-KR"/>
        </w:rPr>
      </w:pPr>
    </w:p>
    <w:p w14:paraId="1AB4B5EE" w14:textId="77777777" w:rsidR="00924ADF" w:rsidRDefault="00924ADF" w:rsidP="00924ADF">
      <w:pPr>
        <w:pStyle w:val="Heading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BodyText"/>
        <w:rPr>
          <w:b/>
          <w:i/>
          <w:u w:val="single"/>
        </w:rPr>
      </w:pPr>
      <w:r w:rsidRPr="00A158F3">
        <w:rPr>
          <w:b/>
          <w:i/>
          <w:highlight w:val="yellow"/>
          <w:u w:val="single"/>
        </w:rPr>
        <w:lastRenderedPageBreak/>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BodyText"/>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BodyText"/>
        <w:numPr>
          <w:ilvl w:val="0"/>
          <w:numId w:val="22"/>
        </w:numPr>
        <w:rPr>
          <w:b/>
          <w:i/>
          <w:highlight w:val="yellow"/>
        </w:rPr>
      </w:pPr>
      <w:r w:rsidRPr="00A158F3">
        <w:rPr>
          <w:b/>
          <w:i/>
          <w:highlight w:val="yellow"/>
        </w:rPr>
        <w:t xml:space="preserve">Configuration of DL and UL transmit polarization including Right hand and </w:t>
      </w:r>
      <w:proofErr w:type="gramStart"/>
      <w:r w:rsidRPr="00A158F3">
        <w:rPr>
          <w:b/>
          <w:i/>
          <w:highlight w:val="yellow"/>
        </w:rPr>
        <w:t>left hand</w:t>
      </w:r>
      <w:proofErr w:type="gramEnd"/>
      <w:r w:rsidRPr="00A158F3">
        <w:rPr>
          <w:b/>
          <w:i/>
          <w:highlight w:val="yellow"/>
        </w:rPr>
        <w:t xml:space="preserve"> circular polarizations (RHCP, LHCP) </w:t>
      </w:r>
    </w:p>
    <w:p w14:paraId="327053BC" w14:textId="053C6CA8" w:rsidR="00E171F5" w:rsidRPr="00A158F3" w:rsidRDefault="00E171F5" w:rsidP="00E171F5">
      <w:pPr>
        <w:pStyle w:val="BodyText"/>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BodyText"/>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BodyText"/>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BodyText"/>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tbl>
      <w:tblPr>
        <w:tblStyle w:val="TableGrid"/>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BodyText"/>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BodyText"/>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BodyText"/>
              <w:spacing w:line="256" w:lineRule="auto"/>
              <w:rPr>
                <w:rFonts w:cs="Arial"/>
              </w:rPr>
            </w:pPr>
            <w:r>
              <w:rPr>
                <w:rFonts w:cs="Arial"/>
              </w:rPr>
              <w:t>SS</w:t>
            </w:r>
          </w:p>
        </w:tc>
        <w:tc>
          <w:tcPr>
            <w:tcW w:w="7834" w:type="dxa"/>
          </w:tcPr>
          <w:p w14:paraId="7BB6D478" w14:textId="77777777" w:rsidR="00FE0768" w:rsidRDefault="001334D8" w:rsidP="00376D01">
            <w:pPr>
              <w:pStyle w:val="BodyText"/>
              <w:spacing w:line="256" w:lineRule="auto"/>
              <w:rPr>
                <w:rFonts w:cs="Arial"/>
              </w:rPr>
            </w:pPr>
            <w:r>
              <w:rPr>
                <w:rFonts w:cs="Arial"/>
              </w:rPr>
              <w:t>Propose to change the wording as below.</w:t>
            </w:r>
          </w:p>
          <w:p w14:paraId="45B24D28" w14:textId="1009FD97" w:rsidR="001334D8" w:rsidRDefault="001334D8" w:rsidP="001334D8">
            <w:pPr>
              <w:pStyle w:val="BodyText"/>
              <w:spacing w:line="256" w:lineRule="auto"/>
              <w:rPr>
                <w:rFonts w:cs="Arial"/>
              </w:rPr>
            </w:pPr>
            <w:r w:rsidRPr="001334D8">
              <w:rPr>
                <w:rFonts w:cs="Arial"/>
              </w:rPr>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2F56DCFF" w:rsidR="00FE0768" w:rsidRPr="004528A6" w:rsidRDefault="004528A6"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A96A866" w14:textId="5C0E1A94" w:rsidR="00687D09" w:rsidRPr="00687D09" w:rsidRDefault="00687D09" w:rsidP="00687D09">
            <w:pPr>
              <w:pStyle w:val="BodyText"/>
              <w:spacing w:line="256" w:lineRule="auto"/>
              <w:rPr>
                <w:rFonts w:eastAsiaTheme="minorEastAsia" w:cs="Arial"/>
                <w:lang w:eastAsia="zh-CN"/>
              </w:rPr>
            </w:pPr>
            <w:r>
              <w:rPr>
                <w:rFonts w:eastAsiaTheme="minorEastAsia" w:cs="Arial" w:hint="eastAsia"/>
                <w:lang w:eastAsia="zh-CN"/>
              </w:rPr>
              <w:t xml:space="preserve">Support Samsung view. </w:t>
            </w:r>
            <w:r>
              <w:rPr>
                <w:rFonts w:eastAsiaTheme="minorEastAsia" w:cs="Arial"/>
                <w:lang w:eastAsia="zh-CN"/>
              </w:rPr>
              <w:t>W</w:t>
            </w:r>
            <w:r>
              <w:rPr>
                <w:rFonts w:eastAsiaTheme="minorEastAsia" w:cs="Arial" w:hint="eastAsia"/>
                <w:lang w:eastAsia="zh-CN"/>
              </w:rPr>
              <w:t xml:space="preserve">e need to open the rooms to allow </w:t>
            </w:r>
            <w:proofErr w:type="gramStart"/>
            <w:r>
              <w:rPr>
                <w:rFonts w:eastAsiaTheme="minorEastAsia" w:cs="Arial" w:hint="eastAsia"/>
                <w:lang w:eastAsia="zh-CN"/>
              </w:rPr>
              <w:t>other</w:t>
            </w:r>
            <w:proofErr w:type="gramEnd"/>
            <w:r>
              <w:rPr>
                <w:rFonts w:eastAsiaTheme="minorEastAsia" w:cs="Arial" w:hint="eastAsia"/>
                <w:lang w:eastAsia="zh-CN"/>
              </w:rPr>
              <w:t xml:space="preserve"> potential optimization.</w:t>
            </w:r>
          </w:p>
        </w:tc>
      </w:tr>
      <w:tr w:rsidR="00C94637" w14:paraId="717ABA62" w14:textId="77777777" w:rsidTr="00376D01">
        <w:tc>
          <w:tcPr>
            <w:tcW w:w="1795" w:type="dxa"/>
          </w:tcPr>
          <w:p w14:paraId="795A0496" w14:textId="291FA945" w:rsidR="00C94637" w:rsidRDefault="00C94637" w:rsidP="00C94637">
            <w:pPr>
              <w:pStyle w:val="BodyText"/>
              <w:spacing w:line="256" w:lineRule="auto"/>
              <w:rPr>
                <w:rFonts w:cs="Arial"/>
              </w:rPr>
            </w:pPr>
            <w:r>
              <w:rPr>
                <w:rFonts w:eastAsiaTheme="minorEastAsia" w:cs="Arial" w:hint="eastAsia"/>
                <w:lang w:eastAsia="zh-CN"/>
              </w:rPr>
              <w:t>X</w:t>
            </w:r>
            <w:r>
              <w:rPr>
                <w:rFonts w:eastAsiaTheme="minorEastAsia" w:cs="Arial"/>
                <w:lang w:eastAsia="zh-CN"/>
              </w:rPr>
              <w:t>iaomi</w:t>
            </w:r>
          </w:p>
        </w:tc>
        <w:tc>
          <w:tcPr>
            <w:tcW w:w="7834" w:type="dxa"/>
          </w:tcPr>
          <w:p w14:paraId="0D6EDF57" w14:textId="3EAD8546" w:rsidR="00C94637" w:rsidRDefault="00C94637" w:rsidP="00C94637">
            <w:pPr>
              <w:pStyle w:val="BodyText"/>
              <w:spacing w:line="256" w:lineRule="auto"/>
              <w:rPr>
                <w:rFonts w:cs="Arial"/>
              </w:rPr>
            </w:pPr>
            <w:r>
              <w:rPr>
                <w:rFonts w:eastAsia="MS Mincho" w:cs="Arial"/>
                <w:lang w:eastAsia="ja-JP"/>
              </w:rPr>
              <w:t>Support proposal#4-3.</w:t>
            </w:r>
          </w:p>
        </w:tc>
      </w:tr>
      <w:tr w:rsidR="00BE0022" w14:paraId="46505457" w14:textId="77777777" w:rsidTr="00376D01">
        <w:tc>
          <w:tcPr>
            <w:tcW w:w="1795" w:type="dxa"/>
          </w:tcPr>
          <w:p w14:paraId="0C4D4122" w14:textId="3148C17E"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5032F37" w14:textId="77777777" w:rsidR="00BE0022" w:rsidRDefault="00BE0022"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w:t>
            </w:r>
            <w:r w:rsidRPr="00E57DD7">
              <w:rPr>
                <w:rFonts w:eastAsiaTheme="minorEastAsia" w:cs="Arial"/>
                <w:lang w:eastAsia="zh-CN"/>
              </w:rPr>
              <w:t>Proposal#4-3</w:t>
            </w:r>
            <w:r>
              <w:rPr>
                <w:rFonts w:eastAsiaTheme="minorEastAsia" w:cs="Arial"/>
                <w:lang w:eastAsia="zh-CN"/>
              </w:rPr>
              <w:t xml:space="preserve"> in general.</w:t>
            </w:r>
          </w:p>
          <w:p w14:paraId="0AC86ED3" w14:textId="1A9B7315" w:rsidR="00BE0022" w:rsidRDefault="00BE0022" w:rsidP="00BE0022">
            <w:pPr>
              <w:pStyle w:val="BodyText"/>
              <w:spacing w:line="256" w:lineRule="auto"/>
              <w:rPr>
                <w:rFonts w:cs="Arial"/>
              </w:rPr>
            </w:pPr>
            <w:r>
              <w:rPr>
                <w:rFonts w:eastAsiaTheme="minorEastAsia" w:cs="Arial"/>
                <w:lang w:eastAsia="zh-CN"/>
              </w:rPr>
              <w:t>On bullet 3, not sure about the benefit to report UE capability with respect to RHCP and</w:t>
            </w:r>
            <w:r w:rsidRPr="00152348">
              <w:rPr>
                <w:rFonts w:eastAsiaTheme="minorEastAsia" w:cs="Arial"/>
                <w:lang w:eastAsia="zh-CN"/>
              </w:rPr>
              <w:t xml:space="preserve"> LHCP</w:t>
            </w:r>
            <w:r>
              <w:rPr>
                <w:rFonts w:eastAsiaTheme="minorEastAsia" w:cs="Arial"/>
                <w:lang w:eastAsia="zh-CN"/>
              </w:rPr>
              <w:t xml:space="preserve"> if it only </w:t>
            </w:r>
            <w:proofErr w:type="gramStart"/>
            <w:r>
              <w:rPr>
                <w:rFonts w:eastAsiaTheme="minorEastAsia" w:cs="Arial"/>
                <w:lang w:eastAsia="zh-CN"/>
              </w:rPr>
              <w:t>support</w:t>
            </w:r>
            <w:proofErr w:type="gramEnd"/>
            <w:r>
              <w:rPr>
                <w:rFonts w:eastAsiaTheme="minorEastAsia" w:cs="Arial"/>
                <w:lang w:eastAsia="zh-CN"/>
              </w:rPr>
              <w:t xml:space="preserve"> one circular polarization. It is unlikely the satellite will make any adjustment </w:t>
            </w:r>
            <w:r w:rsidR="00EB1769">
              <w:rPr>
                <w:rFonts w:eastAsiaTheme="minorEastAsia" w:cs="Arial"/>
                <w:lang w:eastAsia="zh-CN"/>
              </w:rPr>
              <w:t xml:space="preserve">on polarization. </w:t>
            </w:r>
          </w:p>
        </w:tc>
      </w:tr>
      <w:tr w:rsidR="00BE0022" w14:paraId="06E27D4D" w14:textId="77777777" w:rsidTr="00376D01">
        <w:tc>
          <w:tcPr>
            <w:tcW w:w="1795" w:type="dxa"/>
          </w:tcPr>
          <w:p w14:paraId="12C07695" w14:textId="36A0E50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527D9BD9" w14:textId="5DC59895" w:rsidR="0004491C" w:rsidRPr="0004491C" w:rsidRDefault="0004491C" w:rsidP="0004491C">
            <w:pPr>
              <w:pStyle w:val="BodyText"/>
              <w:spacing w:line="256" w:lineRule="auto"/>
              <w:rPr>
                <w:rFonts w:cs="Arial"/>
              </w:rPr>
            </w:pPr>
            <w:r w:rsidRPr="0004491C">
              <w:rPr>
                <w:rFonts w:cs="Arial"/>
              </w:rPr>
              <w:t xml:space="preserve">Support proposal#4-3.  </w:t>
            </w:r>
          </w:p>
          <w:p w14:paraId="7C91F7F5" w14:textId="37D0BBE9" w:rsidR="00BE0022" w:rsidRDefault="0004491C" w:rsidP="0004491C">
            <w:pPr>
              <w:pStyle w:val="BodyText"/>
              <w:spacing w:line="256" w:lineRule="auto"/>
              <w:rPr>
                <w:rFonts w:cs="Arial"/>
              </w:rPr>
            </w:pPr>
            <w:r w:rsidRPr="0004491C">
              <w:rPr>
                <w:rFonts w:cs="Arial"/>
              </w:rPr>
              <w:t>We think all the bullet points under proposal #4-3 are relevant.  Additionally, regarding the UE polarization capability, reconfigurable polarization for both UL and DL beams can also be studied.</w:t>
            </w:r>
          </w:p>
        </w:tc>
      </w:tr>
      <w:tr w:rsidR="00282533" w14:paraId="55E6A689" w14:textId="77777777" w:rsidTr="00376D01">
        <w:tc>
          <w:tcPr>
            <w:tcW w:w="1795" w:type="dxa"/>
          </w:tcPr>
          <w:p w14:paraId="39ED99DC" w14:textId="18884B7E" w:rsidR="00282533" w:rsidRDefault="00282533" w:rsidP="00282533">
            <w:pPr>
              <w:pStyle w:val="BodyText"/>
              <w:spacing w:line="256" w:lineRule="auto"/>
              <w:rPr>
                <w:rFonts w:cs="Arial"/>
              </w:rPr>
            </w:pPr>
            <w:r>
              <w:rPr>
                <w:rFonts w:cs="Arial"/>
              </w:rPr>
              <w:t>Intel</w:t>
            </w:r>
          </w:p>
        </w:tc>
        <w:tc>
          <w:tcPr>
            <w:tcW w:w="7834" w:type="dxa"/>
          </w:tcPr>
          <w:p w14:paraId="6B34712C" w14:textId="3FC4D91F" w:rsidR="00282533" w:rsidRDefault="00282533" w:rsidP="00282533">
            <w:pPr>
              <w:pStyle w:val="BodyText"/>
              <w:spacing w:line="256" w:lineRule="auto"/>
              <w:rPr>
                <w:rFonts w:cs="Arial"/>
              </w:rPr>
            </w:pPr>
            <w:r>
              <w:rPr>
                <w:rFonts w:cs="Arial"/>
              </w:rPr>
              <w:t>We are not sure if enhancements for polarisation indication are needed since polarisation for DL can be measured by the UE directly while polarisation for UL can be controlled via Rel. 15 beam management, codebook based or non-</w:t>
            </w:r>
            <w:proofErr w:type="gramStart"/>
            <w:r>
              <w:rPr>
                <w:rFonts w:cs="Arial"/>
              </w:rPr>
              <w:t>codebook based</w:t>
            </w:r>
            <w:proofErr w:type="gramEnd"/>
            <w:r>
              <w:rPr>
                <w:rFonts w:cs="Arial"/>
              </w:rPr>
              <w:t xml:space="preserve"> UL transmission. However, we are OK to discuss this issue further so proposal 4-3 is acceptable for us.</w:t>
            </w:r>
          </w:p>
        </w:tc>
      </w:tr>
      <w:tr w:rsidR="00282533" w14:paraId="44F00314" w14:textId="77777777" w:rsidTr="00376D01">
        <w:tc>
          <w:tcPr>
            <w:tcW w:w="1795" w:type="dxa"/>
          </w:tcPr>
          <w:p w14:paraId="0C8FB1DC" w14:textId="07A89C51" w:rsidR="00282533" w:rsidRDefault="00F64F43" w:rsidP="00282533">
            <w:pPr>
              <w:pStyle w:val="BodyText"/>
              <w:spacing w:line="256" w:lineRule="auto"/>
              <w:rPr>
                <w:rFonts w:cs="Arial"/>
              </w:rPr>
            </w:pPr>
            <w:r>
              <w:rPr>
                <w:rFonts w:cs="Arial"/>
              </w:rPr>
              <w:t xml:space="preserve">Ericsson </w:t>
            </w:r>
          </w:p>
        </w:tc>
        <w:tc>
          <w:tcPr>
            <w:tcW w:w="7834" w:type="dxa"/>
          </w:tcPr>
          <w:p w14:paraId="7FA70176" w14:textId="5D6FD22C" w:rsidR="00282533" w:rsidRDefault="00F64F43" w:rsidP="00282533">
            <w:pPr>
              <w:pStyle w:val="BodyText"/>
              <w:spacing w:line="256" w:lineRule="auto"/>
              <w:rPr>
                <w:rFonts w:cs="Arial"/>
              </w:rPr>
            </w:pPr>
            <w:r w:rsidRPr="00F64F43">
              <w:rPr>
                <w:rFonts w:cs="Arial"/>
              </w:rPr>
              <w:t>We support this proposal.</w:t>
            </w:r>
          </w:p>
        </w:tc>
      </w:tr>
      <w:tr w:rsidR="00487182" w14:paraId="7DC0F0D0" w14:textId="77777777" w:rsidTr="00376D01">
        <w:tc>
          <w:tcPr>
            <w:tcW w:w="1795" w:type="dxa"/>
          </w:tcPr>
          <w:p w14:paraId="11024133" w14:textId="725ADAE2"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1E8C0C4F" w14:textId="228C0EBC" w:rsidR="00487182" w:rsidRDefault="00487182" w:rsidP="00487182">
            <w:pPr>
              <w:pStyle w:val="BodyText"/>
              <w:spacing w:line="256" w:lineRule="auto"/>
              <w:rPr>
                <w:rFonts w:cs="Arial"/>
              </w:rPr>
            </w:pPr>
            <w:r>
              <w:rPr>
                <w:rFonts w:eastAsia="Malgun Gothic" w:cs="Arial"/>
                <w:lang w:eastAsia="ko-KR"/>
              </w:rPr>
              <w:t>Support</w:t>
            </w:r>
          </w:p>
        </w:tc>
      </w:tr>
      <w:tr w:rsidR="003160D4" w14:paraId="3BF8DDCA" w14:textId="77777777" w:rsidTr="00376D01">
        <w:tc>
          <w:tcPr>
            <w:tcW w:w="1795" w:type="dxa"/>
          </w:tcPr>
          <w:p w14:paraId="24392D08" w14:textId="55617230" w:rsidR="003160D4" w:rsidRDefault="003160D4"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40815078" w14:textId="735D7A15" w:rsidR="003160D4" w:rsidRDefault="003160D4" w:rsidP="00487182">
            <w:pPr>
              <w:pStyle w:val="BodyText"/>
              <w:spacing w:line="256" w:lineRule="auto"/>
              <w:rPr>
                <w:rFonts w:eastAsia="Malgun Gothic" w:cs="Arial"/>
                <w:lang w:eastAsia="ko-KR"/>
              </w:rPr>
            </w:pPr>
            <w:r>
              <w:rPr>
                <w:rFonts w:eastAsia="Malgun Gothic" w:cs="Arial" w:hint="eastAsia"/>
                <w:lang w:eastAsia="ko-KR"/>
              </w:rPr>
              <w:t>S</w:t>
            </w:r>
            <w:r>
              <w:rPr>
                <w:rFonts w:eastAsia="Malgun Gothic" w:cs="Arial"/>
                <w:lang w:eastAsia="ko-KR"/>
              </w:rPr>
              <w:t>upport</w:t>
            </w:r>
          </w:p>
        </w:tc>
      </w:tr>
      <w:tr w:rsidR="00AE0C1C" w14:paraId="0BDC43AE" w14:textId="77777777" w:rsidTr="00376D01">
        <w:tc>
          <w:tcPr>
            <w:tcW w:w="1795" w:type="dxa"/>
          </w:tcPr>
          <w:p w14:paraId="2C5F30BF" w14:textId="26AA9A35" w:rsidR="00AE0C1C" w:rsidRDefault="00AE0C1C"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9EA9A9F" w14:textId="52214DDD" w:rsidR="00AE0C1C" w:rsidRPr="00833BAA" w:rsidRDefault="00AE0C1C" w:rsidP="005F0449">
            <w:pPr>
              <w:pStyle w:val="BodyText"/>
              <w:spacing w:line="256" w:lineRule="auto"/>
              <w:rPr>
                <w:rFonts w:eastAsia="Malgun Gothic" w:cs="Arial"/>
                <w:lang w:eastAsia="ko-KR"/>
              </w:rPr>
            </w:pPr>
            <w:r w:rsidRPr="00833BAA">
              <w:rPr>
                <w:rFonts w:eastAsia="Malgun Gothic" w:cs="Arial"/>
                <w:lang w:eastAsia="ko-KR"/>
              </w:rPr>
              <w:t xml:space="preserve">Agree to further discuss enhancements for polarization signalling. </w:t>
            </w:r>
          </w:p>
          <w:p w14:paraId="5ADDD90A" w14:textId="77777777" w:rsidR="00AE0C1C" w:rsidRDefault="00AE0C1C" w:rsidP="00487182">
            <w:pPr>
              <w:pStyle w:val="BodyText"/>
              <w:spacing w:line="256" w:lineRule="auto"/>
              <w:rPr>
                <w:rFonts w:eastAsia="Malgun Gothic" w:cs="Arial"/>
                <w:lang w:eastAsia="ko-KR"/>
              </w:rPr>
            </w:pPr>
          </w:p>
        </w:tc>
      </w:tr>
      <w:tr w:rsidR="00BF2DC2" w14:paraId="3AEC4FCF" w14:textId="77777777" w:rsidTr="00376D01">
        <w:tc>
          <w:tcPr>
            <w:tcW w:w="1795" w:type="dxa"/>
          </w:tcPr>
          <w:p w14:paraId="225F7B1D" w14:textId="5779751B" w:rsidR="00BF2DC2" w:rsidRDefault="00BF2DC2"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4E941857" w14:textId="77777777" w:rsidR="00BF2DC2" w:rsidRDefault="00BF2DC2" w:rsidP="005F0449">
            <w:pPr>
              <w:pStyle w:val="BodyText"/>
              <w:spacing w:line="256" w:lineRule="auto"/>
              <w:rPr>
                <w:rFonts w:eastAsia="Malgun Gothic" w:cs="Arial"/>
                <w:lang w:eastAsia="ko-KR"/>
              </w:rPr>
            </w:pPr>
            <w:r>
              <w:rPr>
                <w:rFonts w:eastAsia="Malgun Gothic" w:cs="Arial"/>
                <w:lang w:eastAsia="ko-KR"/>
              </w:rPr>
              <w:t>Support</w:t>
            </w:r>
          </w:p>
          <w:p w14:paraId="4402CFD7" w14:textId="02FEE174" w:rsidR="00BF2DC2" w:rsidRPr="00833BAA" w:rsidRDefault="00BF2DC2" w:rsidP="005F0449">
            <w:pPr>
              <w:pStyle w:val="BodyText"/>
              <w:spacing w:line="256" w:lineRule="auto"/>
              <w:rPr>
                <w:rFonts w:eastAsia="Malgun Gothic" w:cs="Arial"/>
                <w:lang w:eastAsia="ko-KR"/>
              </w:rPr>
            </w:pPr>
            <w:r>
              <w:rPr>
                <w:rFonts w:eastAsia="Malgun Gothic" w:cs="Arial"/>
                <w:lang w:eastAsia="ko-KR"/>
              </w:rPr>
              <w:lastRenderedPageBreak/>
              <w:t xml:space="preserve">Since circular polarization is essential to satellite communication, it is better to consider accommodation/enhancement at the early stage.  </w:t>
            </w:r>
          </w:p>
        </w:tc>
      </w:tr>
      <w:tr w:rsidR="005F7604" w14:paraId="715862F1" w14:textId="77777777" w:rsidTr="00376D01">
        <w:tc>
          <w:tcPr>
            <w:tcW w:w="1795" w:type="dxa"/>
          </w:tcPr>
          <w:p w14:paraId="3E6F496E" w14:textId="66D899A1" w:rsidR="005F7604" w:rsidRDefault="005F7604" w:rsidP="00487182">
            <w:pPr>
              <w:pStyle w:val="BodyText"/>
              <w:spacing w:line="256" w:lineRule="auto"/>
              <w:rPr>
                <w:rFonts w:eastAsia="Malgun Gothic" w:cs="Arial"/>
                <w:lang w:eastAsia="ko-KR"/>
              </w:rPr>
            </w:pPr>
            <w:r>
              <w:rPr>
                <w:rFonts w:eastAsia="Malgun Gothic" w:cs="Arial"/>
                <w:lang w:eastAsia="ko-KR"/>
              </w:rPr>
              <w:lastRenderedPageBreak/>
              <w:t>MediaTek</w:t>
            </w:r>
          </w:p>
        </w:tc>
        <w:tc>
          <w:tcPr>
            <w:tcW w:w="7834" w:type="dxa"/>
          </w:tcPr>
          <w:p w14:paraId="4E60C452" w14:textId="1E8AACDA" w:rsidR="005F7604" w:rsidRDefault="005F7604" w:rsidP="005F0449">
            <w:pPr>
              <w:pStyle w:val="BodyText"/>
              <w:spacing w:line="256" w:lineRule="auto"/>
              <w:rPr>
                <w:rFonts w:eastAsia="Malgun Gothic" w:cs="Arial"/>
                <w:lang w:eastAsia="ko-KR"/>
              </w:rPr>
            </w:pPr>
            <w:r>
              <w:rPr>
                <w:rFonts w:eastAsia="Malgun Gothic" w:cs="Arial"/>
                <w:lang w:eastAsia="ko-KR"/>
              </w:rPr>
              <w:t>Support</w:t>
            </w:r>
          </w:p>
        </w:tc>
      </w:tr>
      <w:tr w:rsidR="000D7774" w14:paraId="730F1810" w14:textId="77777777" w:rsidTr="00376D01">
        <w:tc>
          <w:tcPr>
            <w:tcW w:w="1795" w:type="dxa"/>
          </w:tcPr>
          <w:p w14:paraId="3EB04F92" w14:textId="6F2E0BBC" w:rsidR="000D7774" w:rsidRDefault="000D7774" w:rsidP="000D7774">
            <w:pPr>
              <w:pStyle w:val="BodyText"/>
              <w:spacing w:line="256" w:lineRule="auto"/>
              <w:rPr>
                <w:rFonts w:eastAsia="Malgun Gothic" w:cs="Arial"/>
                <w:lang w:eastAsia="ko-KR"/>
              </w:rPr>
            </w:pPr>
            <w:r>
              <w:rPr>
                <w:rFonts w:eastAsia="Malgun Gothic" w:cs="Arial"/>
                <w:lang w:eastAsia="ko-KR"/>
              </w:rPr>
              <w:t>Nokia</w:t>
            </w:r>
          </w:p>
        </w:tc>
        <w:tc>
          <w:tcPr>
            <w:tcW w:w="7834" w:type="dxa"/>
          </w:tcPr>
          <w:p w14:paraId="0CE973E0" w14:textId="5485141F" w:rsidR="000D7774" w:rsidRDefault="000D7774" w:rsidP="000D7774">
            <w:pPr>
              <w:pStyle w:val="BodyText"/>
              <w:spacing w:line="256" w:lineRule="auto"/>
              <w:rPr>
                <w:rFonts w:eastAsia="Malgun Gothic" w:cs="Arial"/>
                <w:lang w:eastAsia="ko-KR"/>
              </w:rPr>
            </w:pPr>
            <w:r>
              <w:rPr>
                <w:rFonts w:eastAsia="Malgun Gothic" w:cs="Arial"/>
                <w:lang w:eastAsia="ko-KR"/>
              </w:rPr>
              <w:t xml:space="preserve">We would like to re-iterate our comments from last round. It would not be acceptable the polarization support is turned into a UE capability, as this would also be needed for initial access, and hence, UE would need to support whichever polarization is used by the </w:t>
            </w:r>
            <w:proofErr w:type="spellStart"/>
            <w:r>
              <w:rPr>
                <w:rFonts w:eastAsia="Malgun Gothic" w:cs="Arial"/>
                <w:lang w:eastAsia="ko-KR"/>
              </w:rPr>
              <w:t>gNB</w:t>
            </w:r>
            <w:proofErr w:type="spellEnd"/>
            <w:r>
              <w:rPr>
                <w:rFonts w:eastAsia="Malgun Gothic" w:cs="Arial"/>
                <w:lang w:eastAsia="ko-KR"/>
              </w:rPr>
              <w:t>.</w:t>
            </w:r>
          </w:p>
        </w:tc>
      </w:tr>
    </w:tbl>
    <w:p w14:paraId="0718F5D0" w14:textId="77777777" w:rsidR="00FE0768" w:rsidRDefault="00FE0768"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14A3CE46" w14:textId="1AA33F36" w:rsidR="00594A63" w:rsidRDefault="009A4A21" w:rsidP="007339B0">
      <w:pPr>
        <w:pStyle w:val="Header"/>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Header"/>
        <w:tabs>
          <w:tab w:val="left" w:pos="666"/>
        </w:tabs>
        <w:spacing w:after="120"/>
        <w:ind w:right="-57"/>
        <w:jc w:val="both"/>
        <w:rPr>
          <w:b w:val="0"/>
          <w:lang w:eastAsia="ko-KR"/>
        </w:rPr>
      </w:pPr>
    </w:p>
    <w:p w14:paraId="02563545" w14:textId="22DFFAFC" w:rsidR="000E2E4B" w:rsidRDefault="000E2E4B" w:rsidP="000E2E4B">
      <w:pPr>
        <w:pStyle w:val="Heading1"/>
        <w:rPr>
          <w:lang w:eastAsia="ko-KR"/>
        </w:rPr>
      </w:pPr>
      <w:r>
        <w:rPr>
          <w:lang w:eastAsia="ko-KR"/>
        </w:rPr>
        <w:t xml:space="preserve">Air </w:t>
      </w:r>
      <w:proofErr w:type="gramStart"/>
      <w:r>
        <w:rPr>
          <w:lang w:eastAsia="ko-KR"/>
        </w:rPr>
        <w:t>To</w:t>
      </w:r>
      <w:proofErr w:type="gramEnd"/>
      <w:r>
        <w:rPr>
          <w:lang w:eastAsia="ko-KR"/>
        </w:rPr>
        <w:t xml:space="preserve"> Ground Network</w:t>
      </w:r>
      <w:r w:rsidR="004E2A68">
        <w:rPr>
          <w:lang w:eastAsia="ko-KR"/>
        </w:rPr>
        <w:t>s</w:t>
      </w:r>
    </w:p>
    <w:p w14:paraId="0AE6E716" w14:textId="77777777" w:rsidR="009A4A21" w:rsidRDefault="009A4A21" w:rsidP="009A4A21">
      <w:pPr>
        <w:pStyle w:val="Heading2"/>
        <w:rPr>
          <w:lang w:eastAsia="ko-KR"/>
        </w:rPr>
      </w:pPr>
      <w:r>
        <w:rPr>
          <w:lang w:eastAsia="ko-KR"/>
        </w:rPr>
        <w:t>Background</w:t>
      </w:r>
    </w:p>
    <w:p w14:paraId="40463F08" w14:textId="573BE1A0" w:rsidR="000E2E4B" w:rsidRDefault="000E2E4B" w:rsidP="000E2E4B">
      <w:pPr>
        <w:rPr>
          <w:lang w:eastAsia="ko-KR"/>
        </w:rPr>
      </w:pPr>
      <w:r w:rsidRPr="000B2641">
        <w:rPr>
          <w:lang w:eastAsia="ko-KR"/>
        </w:rPr>
        <w:t xml:space="preserve">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w:t>
      </w:r>
      <w:proofErr w:type="spellStart"/>
      <w:r w:rsidRPr="000B2641">
        <w:rPr>
          <w:lang w:eastAsia="ko-KR"/>
        </w:rPr>
        <w:t>gNB</w:t>
      </w:r>
      <w:proofErr w:type="spellEnd"/>
      <w:r w:rsidRPr="000B2641">
        <w:rPr>
          <w:lang w:eastAsia="ko-KR"/>
        </w:rPr>
        <w:t xml:space="preserve"> deployed on the ground, with antennas pointing upward to form an aerial cell, while aircraft performs as a special UE. ATG air interface connects ATG </w:t>
      </w:r>
      <w:proofErr w:type="spellStart"/>
      <w:r w:rsidRPr="000B2641">
        <w:rPr>
          <w:lang w:eastAsia="ko-KR"/>
        </w:rPr>
        <w:t>gNB</w:t>
      </w:r>
      <w:proofErr w:type="spellEnd"/>
      <w:r w:rsidRPr="000B2641">
        <w:rPr>
          <w:lang w:eastAsia="ko-KR"/>
        </w:rPr>
        <w:t xml:space="preserve">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 xml:space="preserve">There are several regional commercial or trial in-flight networks based on hybrid techniques of ATG and satellite communication, such as </w:t>
      </w:r>
      <w:proofErr w:type="spellStart"/>
      <w:r w:rsidRPr="0019171D">
        <w:rPr>
          <w:bCs/>
          <w:iCs/>
        </w:rPr>
        <w:t>Gogo’s</w:t>
      </w:r>
      <w:proofErr w:type="spellEnd"/>
      <w:r w:rsidRPr="0019171D">
        <w:rPr>
          <w:bCs/>
          <w:iCs/>
        </w:rPr>
        <w:t xml:space="preserve">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 xml:space="preserve">TDD UL-DL Config. with &gt;16 DL slots (e.g., 27DL:4GP:9UL frame structure with 30kHz </w:t>
      </w:r>
      <w:proofErr w:type="gramStart"/>
      <w:r>
        <w:rPr>
          <w:lang w:eastAsia="ko-KR"/>
        </w:rPr>
        <w:t>SCS )</w:t>
      </w:r>
      <w:proofErr w:type="gramEnd"/>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8" type="#_x0000_t75" style="width:147pt;height:93.5pt" o:ole="">
            <v:imagedata r:id="rId24" o:title=""/>
          </v:shape>
          <o:OLEObject Type="Embed" ProgID="Visio.Drawing.15" ShapeID="_x0000_i1028" DrawAspect="Content" ObjectID="_1659812247" r:id="rId25"/>
        </w:object>
      </w:r>
      <w:r>
        <w:object w:dxaOrig="13621" w:dyaOrig="3205" w14:anchorId="3C221396">
          <v:shape id="_x0000_i1029" type="#_x0000_t75" style="width:333.5pt;height:79pt" o:ole="">
            <v:imagedata r:id="rId26" o:title=""/>
          </v:shape>
          <o:OLEObject Type="Embed" ProgID="Visio.Drawing.15" ShapeID="_x0000_i1029" DrawAspect="Content" ObjectID="_1659812248"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proofErr w:type="spellStart"/>
      <w:r w:rsidRPr="00AA20D6">
        <w:lastRenderedPageBreak/>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 xml:space="preserve">(including terrestrial </w:t>
      </w:r>
      <w:proofErr w:type="spellStart"/>
      <w:r w:rsidRPr="00DD7E1F">
        <w:rPr>
          <w:bCs/>
          <w:iCs/>
        </w:rPr>
        <w:t>gNB</w:t>
      </w:r>
      <w:proofErr w:type="spellEnd"/>
      <w:r w:rsidRPr="00DD7E1F">
        <w:rPr>
          <w:bCs/>
          <w:iCs/>
        </w:rPr>
        <w:t xml:space="preserve">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w:t>
      </w:r>
      <w:proofErr w:type="spellStart"/>
      <w:r w:rsidRPr="00DD7E1F">
        <w:rPr>
          <w:bCs/>
          <w:iCs/>
        </w:rPr>
        <w:t>gNB</w:t>
      </w:r>
      <w:proofErr w:type="spellEnd"/>
      <w:r w:rsidRPr="00DD7E1F">
        <w:rPr>
          <w:bCs/>
          <w:iCs/>
        </w:rPr>
        <w:t xml:space="preserve">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w:t>
      </w:r>
      <w:proofErr w:type="spellStart"/>
      <w:r w:rsidRPr="0082687C">
        <w:t>DataToUL</w:t>
      </w:r>
      <w:proofErr w:type="spellEnd"/>
      <w:r w:rsidRPr="0082687C">
        <w:t>-ACK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186CB8C2" w14:textId="1DF8BC00" w:rsidR="009A4A21" w:rsidRDefault="009A4A21" w:rsidP="009A4A21">
      <w:pPr>
        <w:pStyle w:val="Heading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BodyText"/>
        <w:rPr>
          <w:lang w:eastAsia="ko-KR"/>
        </w:rPr>
      </w:pPr>
      <w:r>
        <w:rPr>
          <w:lang w:eastAsia="ko-KR"/>
        </w:rPr>
        <w:t>CMCC, ZTE, MediaTek proposed to move ATG discussions to AI 8.4.1, 8.4.2, 8.4.3</w:t>
      </w:r>
    </w:p>
    <w:p w14:paraId="4E87ABED" w14:textId="517A2D43" w:rsidR="009A4A21" w:rsidRDefault="009A4A21" w:rsidP="000E2E4B">
      <w:pPr>
        <w:pStyle w:val="BodyText"/>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BodyText"/>
              <w:spacing w:line="256" w:lineRule="auto"/>
              <w:rPr>
                <w:rFonts w:eastAsiaTheme="minorEastAsia" w:cs="Arial"/>
              </w:rPr>
            </w:pPr>
            <w:r>
              <w:rPr>
                <w:rFonts w:eastAsiaTheme="minorEastAsia"/>
                <w:lang w:eastAsia="zh-CN"/>
              </w:rPr>
              <w:t>For example, the proposal of “</w:t>
            </w:r>
            <w:r w:rsidRPr="0082687C">
              <w:t>Extending the value range of dl-</w:t>
            </w:r>
            <w:proofErr w:type="spellStart"/>
            <w:r w:rsidRPr="0082687C">
              <w:t>DataToUL</w:t>
            </w:r>
            <w:proofErr w:type="spellEnd"/>
            <w:r w:rsidRPr="0082687C">
              <w:t>-ACK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w:t>
            </w:r>
            <w:proofErr w:type="spellStart"/>
            <w:r>
              <w:rPr>
                <w:rFonts w:eastAsiaTheme="minorEastAsia" w:cs="Arial"/>
              </w:rPr>
              <w:t>signaling</w:t>
            </w:r>
            <w:proofErr w:type="spellEnd"/>
            <w:r>
              <w:rPr>
                <w:rFonts w:eastAsiaTheme="minorEastAsia" w:cs="Arial"/>
              </w:rPr>
              <w:t xml:space="preserve">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BodyText"/>
              <w:spacing w:line="256" w:lineRule="auto"/>
              <w:rPr>
                <w:rFonts w:eastAsiaTheme="minorEastAsia" w:cs="Arial"/>
              </w:rPr>
            </w:pPr>
            <w:proofErr w:type="gramStart"/>
            <w:r>
              <w:rPr>
                <w:rFonts w:eastAsiaTheme="minorEastAsia" w:cs="Arial"/>
              </w:rPr>
              <w:t>So</w:t>
            </w:r>
            <w:proofErr w:type="gramEnd"/>
            <w:r>
              <w:rPr>
                <w:rFonts w:eastAsiaTheme="minorEastAsia" w:cs="Arial"/>
              </w:rPr>
              <w:t xml:space="preserve">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xml:space="preserve">. We discussed HARQ aspects of ATG in our </w:t>
            </w:r>
            <w:proofErr w:type="spellStart"/>
            <w:r>
              <w:rPr>
                <w:rFonts w:eastAsiaTheme="minorEastAsia"/>
                <w:lang w:eastAsia="zh-CN"/>
              </w:rPr>
              <w:t>TDoc</w:t>
            </w:r>
            <w:proofErr w:type="spellEnd"/>
            <w:r>
              <w:rPr>
                <w:rFonts w:eastAsiaTheme="minorEastAsia"/>
                <w:lang w:eastAsia="zh-CN"/>
              </w:rPr>
              <w:t xml:space="preserve">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2B20C2B0" w:rsidR="0034109D" w:rsidRDefault="0034109D" w:rsidP="0034109D">
            <w:pPr>
              <w:autoSpaceDE w:val="0"/>
              <w:autoSpaceDN w:val="0"/>
              <w:adjustRightInd w:val="0"/>
              <w:snapToGrid w:val="0"/>
              <w:rPr>
                <w:rFonts w:eastAsiaTheme="minorEastAsia"/>
                <w:lang w:eastAsia="zh-CN"/>
              </w:rPr>
            </w:pPr>
            <w:r w:rsidRPr="00E66B52">
              <w:t>Agree with Panasonic and Nokia.</w:t>
            </w:r>
          </w:p>
        </w:tc>
      </w:tr>
      <w:tr w:rsidR="00BF2DC2" w14:paraId="1BE29F0F" w14:textId="77777777" w:rsidTr="00594A63">
        <w:tc>
          <w:tcPr>
            <w:tcW w:w="2335" w:type="dxa"/>
            <w:tcBorders>
              <w:top w:val="single" w:sz="4" w:space="0" w:color="auto"/>
              <w:left w:val="single" w:sz="4" w:space="0" w:color="auto"/>
              <w:bottom w:val="single" w:sz="4" w:space="0" w:color="auto"/>
              <w:right w:val="single" w:sz="4" w:space="0" w:color="auto"/>
            </w:tcBorders>
          </w:tcPr>
          <w:p w14:paraId="26226173" w14:textId="45974EF6" w:rsidR="00BF2DC2" w:rsidRPr="00E66B52" w:rsidRDefault="00BF2DC2" w:rsidP="0034109D">
            <w:pPr>
              <w:jc w:val="center"/>
            </w:pPr>
            <w:r>
              <w:t>APT</w:t>
            </w:r>
          </w:p>
        </w:tc>
        <w:tc>
          <w:tcPr>
            <w:tcW w:w="6840" w:type="dxa"/>
            <w:tcBorders>
              <w:top w:val="single" w:sz="4" w:space="0" w:color="auto"/>
              <w:left w:val="single" w:sz="4" w:space="0" w:color="auto"/>
              <w:bottom w:val="single" w:sz="4" w:space="0" w:color="auto"/>
              <w:right w:val="single" w:sz="4" w:space="0" w:color="auto"/>
            </w:tcBorders>
          </w:tcPr>
          <w:p w14:paraId="100145E2" w14:textId="7D5144EE" w:rsidR="00BF2DC2" w:rsidRPr="00E66B52" w:rsidRDefault="00BF2DC2" w:rsidP="0034109D">
            <w:pPr>
              <w:autoSpaceDE w:val="0"/>
              <w:autoSpaceDN w:val="0"/>
              <w:adjustRightInd w:val="0"/>
              <w:snapToGrid w:val="0"/>
            </w:pPr>
            <w:r>
              <w:t>Neutral. More discussion is needed.</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Heading2"/>
        <w:rPr>
          <w:lang w:eastAsia="ko-KR"/>
        </w:rPr>
      </w:pPr>
      <w:r>
        <w:rPr>
          <w:lang w:eastAsia="ko-KR"/>
        </w:rPr>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TableGrid"/>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BodyText"/>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BodyText"/>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BodyText"/>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BodyText"/>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5B7A14A" w14:textId="7573F1F8" w:rsidR="00FE0768" w:rsidRDefault="00255F77" w:rsidP="00376D01">
            <w:pPr>
              <w:pStyle w:val="BodyText"/>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BodyText"/>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ATG” in the WID means the enhancements for NTN can also applicable for ATG,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we do not need to discuss the enhancements specifically for ATG</w:t>
            </w:r>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f there are several potential solutions for NTN in which some of them are more applicable for ATG,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BodyText"/>
              <w:spacing w:line="256" w:lineRule="auto"/>
              <w:rPr>
                <w:rFonts w:eastAsiaTheme="minorEastAsia" w:cs="Arial"/>
                <w:lang w:eastAsia="zh-CN"/>
              </w:rPr>
            </w:pPr>
            <w:r>
              <w:rPr>
                <w:rFonts w:eastAsiaTheme="minorEastAsia" w:cs="Arial" w:hint="eastAsia"/>
                <w:lang w:eastAsia="zh-CN"/>
              </w:rPr>
              <w:lastRenderedPageBreak/>
              <w:t>T</w:t>
            </w:r>
            <w:r>
              <w:rPr>
                <w:rFonts w:eastAsiaTheme="minorEastAsia" w:cs="Arial"/>
                <w:lang w:eastAsia="zh-CN"/>
              </w:rPr>
              <w:t xml:space="preserve">herefore, we agree on ZTE’s proposal to update proposal #5-1 as: </w:t>
            </w:r>
          </w:p>
          <w:p w14:paraId="06A3D897" w14:textId="4C9410B0" w:rsidR="00255F77" w:rsidRPr="00255F77" w:rsidRDefault="00255F77" w:rsidP="00255F77">
            <w:pPr>
              <w:pStyle w:val="BodyText"/>
              <w:spacing w:line="256" w:lineRule="auto"/>
              <w:rPr>
                <w:rFonts w:eastAsiaTheme="minorEastAsia" w:cs="Arial"/>
                <w:b/>
                <w:lang w:eastAsia="zh-CN"/>
              </w:rPr>
            </w:pPr>
            <w:r w:rsidRPr="00255F77">
              <w:rPr>
                <w:rFonts w:eastAsiaTheme="minorEastAsia"/>
                <w:b/>
                <w:lang w:eastAsia="zh-CN"/>
              </w:rPr>
              <w:t>Enhancements on timing relationships, UL synchronization, and HARQ aspects with consideration on the compatibility to support ATG can be conducted in AI 8.4.1, AI 8.4.2, and AI 8.4.3 respectively.</w:t>
            </w:r>
          </w:p>
          <w:p w14:paraId="117792FD" w14:textId="1D0FEA7F" w:rsidR="00255F77" w:rsidRPr="00255F77" w:rsidRDefault="00255F77" w:rsidP="00255F77">
            <w:pPr>
              <w:pStyle w:val="BodyText"/>
              <w:spacing w:line="256" w:lineRule="auto"/>
              <w:rPr>
                <w:rFonts w:eastAsiaTheme="minorEastAsia" w:cs="Arial"/>
                <w:lang w:eastAsia="zh-CN"/>
              </w:rPr>
            </w:pPr>
          </w:p>
        </w:tc>
      </w:tr>
      <w:tr w:rsidR="00FE0768" w14:paraId="2B634D41" w14:textId="77777777" w:rsidTr="00376D01">
        <w:tc>
          <w:tcPr>
            <w:tcW w:w="1795" w:type="dxa"/>
          </w:tcPr>
          <w:p w14:paraId="6AD759E0" w14:textId="77C8D847" w:rsidR="00FE0768" w:rsidRPr="00533528" w:rsidRDefault="00533528" w:rsidP="00376D01">
            <w:pPr>
              <w:pStyle w:val="BodyText"/>
              <w:spacing w:line="256" w:lineRule="auto"/>
              <w:rPr>
                <w:rFonts w:eastAsiaTheme="minorEastAsia" w:cs="Arial"/>
                <w:lang w:eastAsia="zh-CN"/>
              </w:rPr>
            </w:pPr>
            <w:r>
              <w:rPr>
                <w:rFonts w:eastAsiaTheme="minorEastAsia" w:cs="Arial" w:hint="eastAsia"/>
                <w:lang w:eastAsia="zh-CN"/>
              </w:rPr>
              <w:lastRenderedPageBreak/>
              <w:t>S</w:t>
            </w:r>
            <w:r>
              <w:rPr>
                <w:rFonts w:eastAsiaTheme="minorEastAsia" w:cs="Arial"/>
                <w:lang w:eastAsia="zh-CN"/>
              </w:rPr>
              <w:t>ony</w:t>
            </w:r>
          </w:p>
        </w:tc>
        <w:tc>
          <w:tcPr>
            <w:tcW w:w="7834" w:type="dxa"/>
          </w:tcPr>
          <w:p w14:paraId="629FE6BA" w14:textId="7748AFDE" w:rsidR="00FE0768" w:rsidRPr="00EB1769" w:rsidRDefault="00EB1769" w:rsidP="00AA62A6">
            <w:pPr>
              <w:pStyle w:val="BodyText"/>
              <w:spacing w:line="256" w:lineRule="auto"/>
              <w:rPr>
                <w:rFonts w:eastAsiaTheme="minorEastAsia" w:cs="Arial"/>
                <w:lang w:eastAsia="zh-CN"/>
              </w:rPr>
            </w:pPr>
            <w:r>
              <w:rPr>
                <w:rFonts w:eastAsiaTheme="minorEastAsia" w:cs="Arial"/>
                <w:lang w:eastAsia="zh-CN"/>
              </w:rPr>
              <w:t xml:space="preserve"> </w:t>
            </w:r>
            <w:r w:rsidR="00533528">
              <w:rPr>
                <w:rFonts w:eastAsia="MS Mincho" w:cs="Arial"/>
                <w:lang w:eastAsia="ja-JP"/>
              </w:rPr>
              <w:t>Support proposal#5-1.</w:t>
            </w:r>
          </w:p>
        </w:tc>
      </w:tr>
      <w:tr w:rsidR="005E422C" w14:paraId="07B31878" w14:textId="77777777" w:rsidTr="00376D01">
        <w:tc>
          <w:tcPr>
            <w:tcW w:w="1795" w:type="dxa"/>
          </w:tcPr>
          <w:p w14:paraId="1B978EBB" w14:textId="046B08FC" w:rsidR="005E422C" w:rsidRDefault="005E422C" w:rsidP="005E422C">
            <w:pPr>
              <w:pStyle w:val="BodyText"/>
              <w:spacing w:line="256" w:lineRule="auto"/>
              <w:rPr>
                <w:rFonts w:cs="Arial"/>
              </w:rPr>
            </w:pPr>
            <w:r>
              <w:rPr>
                <w:rFonts w:cs="Arial"/>
              </w:rPr>
              <w:t>Intel</w:t>
            </w:r>
          </w:p>
        </w:tc>
        <w:tc>
          <w:tcPr>
            <w:tcW w:w="7834" w:type="dxa"/>
          </w:tcPr>
          <w:p w14:paraId="204B66CA" w14:textId="1944635F" w:rsidR="005E422C" w:rsidRDefault="005E422C" w:rsidP="005E422C">
            <w:pPr>
              <w:pStyle w:val="BodyText"/>
              <w:spacing w:line="256" w:lineRule="auto"/>
              <w:rPr>
                <w:rFonts w:cs="Arial"/>
              </w:rPr>
            </w:pPr>
            <w:r>
              <w:rPr>
                <w:rFonts w:eastAsiaTheme="minorEastAsia" w:cs="Arial"/>
                <w:lang w:eastAsia="zh-CN"/>
              </w:rPr>
              <w:t>It is not clear if this proposal is needed since proponents can propose enhancements for ATG directly in any AI and each proposal can be treated separately.</w:t>
            </w:r>
          </w:p>
        </w:tc>
      </w:tr>
      <w:tr w:rsidR="005E422C" w14:paraId="5869DD8C" w14:textId="77777777" w:rsidTr="00376D01">
        <w:tc>
          <w:tcPr>
            <w:tcW w:w="1795" w:type="dxa"/>
          </w:tcPr>
          <w:p w14:paraId="7CBE7933" w14:textId="55D3E3F6" w:rsidR="005E422C" w:rsidRDefault="00FB3917" w:rsidP="005E422C">
            <w:pPr>
              <w:pStyle w:val="BodyText"/>
              <w:spacing w:line="256" w:lineRule="auto"/>
              <w:rPr>
                <w:rFonts w:cs="Arial"/>
              </w:rPr>
            </w:pPr>
            <w:r>
              <w:rPr>
                <w:rFonts w:cs="Arial" w:hint="eastAsia"/>
              </w:rPr>
              <w:t>OPPO</w:t>
            </w:r>
          </w:p>
        </w:tc>
        <w:tc>
          <w:tcPr>
            <w:tcW w:w="7834" w:type="dxa"/>
          </w:tcPr>
          <w:p w14:paraId="323C8FEA" w14:textId="0B3724F5" w:rsidR="005E422C" w:rsidRDefault="00FB3917" w:rsidP="005E422C">
            <w:pPr>
              <w:pStyle w:val="BodyText"/>
              <w:spacing w:line="256" w:lineRule="auto"/>
              <w:rPr>
                <w:rFonts w:cs="Arial"/>
              </w:rPr>
            </w:pPr>
            <w:r>
              <w:rPr>
                <w:rFonts w:cs="Arial" w:hint="eastAsia"/>
              </w:rPr>
              <w:t>S</w:t>
            </w:r>
            <w:r>
              <w:rPr>
                <w:rFonts w:cs="Arial"/>
              </w:rPr>
              <w:t>upport proposal 5-1</w:t>
            </w:r>
          </w:p>
        </w:tc>
      </w:tr>
      <w:tr w:rsidR="005E422C" w14:paraId="3E39D81A" w14:textId="77777777" w:rsidTr="00376D01">
        <w:tc>
          <w:tcPr>
            <w:tcW w:w="1795" w:type="dxa"/>
          </w:tcPr>
          <w:p w14:paraId="70652005" w14:textId="362FF26B" w:rsidR="005E422C" w:rsidRDefault="00BF2DC2" w:rsidP="005E422C">
            <w:pPr>
              <w:pStyle w:val="BodyText"/>
              <w:spacing w:line="256" w:lineRule="auto"/>
              <w:rPr>
                <w:rFonts w:cs="Arial"/>
              </w:rPr>
            </w:pPr>
            <w:r>
              <w:rPr>
                <w:rFonts w:cs="Arial"/>
              </w:rPr>
              <w:t>APT</w:t>
            </w:r>
          </w:p>
        </w:tc>
        <w:tc>
          <w:tcPr>
            <w:tcW w:w="7834" w:type="dxa"/>
          </w:tcPr>
          <w:p w14:paraId="728A49B0" w14:textId="28BCF15C" w:rsidR="005E422C" w:rsidRDefault="00BF2DC2" w:rsidP="005E422C">
            <w:pPr>
              <w:pStyle w:val="BodyText"/>
              <w:spacing w:line="256" w:lineRule="auto"/>
              <w:rPr>
                <w:rFonts w:cs="Arial"/>
              </w:rPr>
            </w:pPr>
            <w:r>
              <w:rPr>
                <w:rFonts w:cs="Arial"/>
              </w:rPr>
              <w:t>Neutral. More discussion may be needed.</w:t>
            </w:r>
          </w:p>
        </w:tc>
      </w:tr>
      <w:tr w:rsidR="005E422C" w14:paraId="0566BBEB" w14:textId="77777777" w:rsidTr="00376D01">
        <w:tc>
          <w:tcPr>
            <w:tcW w:w="1795" w:type="dxa"/>
          </w:tcPr>
          <w:p w14:paraId="4C243E54" w14:textId="4915E83C" w:rsidR="005E422C" w:rsidRDefault="005F7604" w:rsidP="005E422C">
            <w:pPr>
              <w:pStyle w:val="BodyText"/>
              <w:spacing w:line="256" w:lineRule="auto"/>
              <w:rPr>
                <w:rFonts w:cs="Arial"/>
              </w:rPr>
            </w:pPr>
            <w:r>
              <w:rPr>
                <w:rFonts w:cs="Arial"/>
              </w:rPr>
              <w:t>MediaTek</w:t>
            </w:r>
          </w:p>
        </w:tc>
        <w:tc>
          <w:tcPr>
            <w:tcW w:w="7834" w:type="dxa"/>
          </w:tcPr>
          <w:p w14:paraId="2577F109" w14:textId="00FF34A3" w:rsidR="005E422C" w:rsidRDefault="005F7604" w:rsidP="005F7604">
            <w:pPr>
              <w:pStyle w:val="BodyText"/>
              <w:spacing w:line="256" w:lineRule="auto"/>
              <w:rPr>
                <w:rFonts w:cs="Arial"/>
              </w:rPr>
            </w:pPr>
            <w:r w:rsidRPr="005F7604">
              <w:rPr>
                <w:rFonts w:cs="Arial"/>
              </w:rPr>
              <w:t>The work item aims to specify the enhancements identified for NR NTN with implicit compatibility to support ATG (air to ground) scenarios</w:t>
            </w:r>
            <w:r>
              <w:rPr>
                <w:rFonts w:cs="Arial"/>
              </w:rPr>
              <w:t>. M</w:t>
            </w:r>
            <w:r w:rsidRPr="005F7604">
              <w:rPr>
                <w:rFonts w:cs="Arial"/>
              </w:rPr>
              <w:t>aking an agreement in RAN1 that makes ATG enhancements explicit</w:t>
            </w:r>
            <w:r>
              <w:rPr>
                <w:rFonts w:cs="Arial"/>
              </w:rPr>
              <w:t xml:space="preserve"> is likely to contradict scope of WID. </w:t>
            </w:r>
          </w:p>
        </w:tc>
      </w:tr>
      <w:tr w:rsidR="000D7774" w14:paraId="25A750CB" w14:textId="77777777" w:rsidTr="00376D01">
        <w:tc>
          <w:tcPr>
            <w:tcW w:w="1795" w:type="dxa"/>
          </w:tcPr>
          <w:p w14:paraId="5143CB16" w14:textId="6C214B13" w:rsidR="000D7774" w:rsidRDefault="000D7774" w:rsidP="000D7774">
            <w:pPr>
              <w:pStyle w:val="BodyText"/>
              <w:spacing w:line="256" w:lineRule="auto"/>
              <w:rPr>
                <w:rFonts w:cs="Arial"/>
              </w:rPr>
            </w:pPr>
            <w:r>
              <w:rPr>
                <w:rFonts w:cs="Arial"/>
              </w:rPr>
              <w:t>Nokia</w:t>
            </w:r>
          </w:p>
        </w:tc>
        <w:tc>
          <w:tcPr>
            <w:tcW w:w="7834" w:type="dxa"/>
          </w:tcPr>
          <w:p w14:paraId="30D2E4FB" w14:textId="471EB524" w:rsidR="000D7774" w:rsidRDefault="000D7774" w:rsidP="000D7774">
            <w:pPr>
              <w:pStyle w:val="BodyText"/>
              <w:spacing w:line="256" w:lineRule="auto"/>
              <w:rPr>
                <w:rFonts w:cs="Arial"/>
              </w:rPr>
            </w:pPr>
            <w:r>
              <w:rPr>
                <w:rFonts w:cs="Arial"/>
              </w:rPr>
              <w:t>Support CMCC and MediaTek. The implicit compatibility does not point to explicitly introducing additional means to support ATG.</w:t>
            </w:r>
          </w:p>
        </w:tc>
      </w:tr>
    </w:tbl>
    <w:p w14:paraId="46B2EFCE" w14:textId="77777777" w:rsidR="00FE0768" w:rsidRPr="009A4A21" w:rsidRDefault="00FE0768" w:rsidP="00600805">
      <w:pPr>
        <w:rPr>
          <w:lang w:eastAsia="ko-KR"/>
        </w:rPr>
      </w:pPr>
    </w:p>
    <w:p w14:paraId="10178358" w14:textId="77777777" w:rsidR="009A4A21" w:rsidRDefault="009A4A21" w:rsidP="009A4A21">
      <w:pPr>
        <w:pStyle w:val="Heading2"/>
        <w:rPr>
          <w:lang w:eastAsia="ko-KR"/>
        </w:rPr>
      </w:pPr>
      <w:r w:rsidRPr="00003493">
        <w:rPr>
          <w:lang w:eastAsia="ko-KR"/>
        </w:rPr>
        <w:t>Updated proposal based on company views (2nd round of email discussion)</w:t>
      </w:r>
    </w:p>
    <w:p w14:paraId="711686F4" w14:textId="77777777" w:rsidR="009A4A21" w:rsidRDefault="009A4A21" w:rsidP="009A4A21">
      <w:pPr>
        <w:pStyle w:val="Header"/>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Header"/>
        <w:tabs>
          <w:tab w:val="left" w:pos="666"/>
        </w:tabs>
        <w:spacing w:after="120"/>
        <w:ind w:right="-57"/>
        <w:jc w:val="both"/>
        <w:rPr>
          <w:lang w:eastAsia="ko-KR"/>
        </w:rPr>
      </w:pPr>
    </w:p>
    <w:p w14:paraId="705A3D2D" w14:textId="77777777" w:rsidR="00A30F98" w:rsidRDefault="00A30F98"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ListParagraph"/>
              <w:numPr>
                <w:ilvl w:val="0"/>
                <w:numId w:val="3"/>
              </w:numPr>
              <w:autoSpaceDE w:val="0"/>
              <w:autoSpaceDN w:val="0"/>
              <w:adjustRightInd w:val="0"/>
              <w:snapToGrid w:val="0"/>
              <w:spacing w:after="0"/>
            </w:pPr>
            <w:r>
              <w:t>Observation 7</w:t>
            </w:r>
            <w:r>
              <w:tab/>
              <w:t xml:space="preserve">In Earth-Fixed cell, continuously adjusting the beam direction may introduces additional complexity in the satellite antenna system implementation. Beam </w:t>
            </w:r>
            <w:proofErr w:type="gramStart"/>
            <w:r>
              <w:t>steering  is</w:t>
            </w:r>
            <w:proofErr w:type="gramEnd"/>
            <w:r>
              <w:t xml:space="preserve"> implementation dependent and it is already in operation for some satellites constellations</w:t>
            </w:r>
          </w:p>
          <w:p w14:paraId="4A050A16" w14:textId="77777777" w:rsidR="00EA24E0" w:rsidRDefault="00EA24E0" w:rsidP="00594A63">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ListParagraph"/>
              <w:numPr>
                <w:ilvl w:val="0"/>
                <w:numId w:val="3"/>
              </w:numPr>
              <w:autoSpaceDE w:val="0"/>
              <w:autoSpaceDN w:val="0"/>
              <w:adjustRightInd w:val="0"/>
              <w:snapToGrid w:val="0"/>
              <w:spacing w:after="0"/>
            </w:pPr>
            <w:r>
              <w:t>Observation 9</w:t>
            </w:r>
            <w:r>
              <w:tab/>
              <w:t xml:space="preserve">For the UEs located at the cell/beam edge the </w:t>
            </w:r>
            <w:proofErr w:type="spellStart"/>
            <w:r>
              <w:t>Dwell_time</w:t>
            </w:r>
            <w:proofErr w:type="spellEnd"/>
            <w:r>
              <w:t xml:space="preserve"> will be less and therefore, depending on </w:t>
            </w:r>
            <w:proofErr w:type="gramStart"/>
            <w:r>
              <w:t>users</w:t>
            </w:r>
            <w:proofErr w:type="gramEnd"/>
            <w:r>
              <w:t xml:space="preserve"> distribution within the cell, the HO rate might be much higher </w:t>
            </w:r>
          </w:p>
          <w:p w14:paraId="23BC3296" w14:textId="77777777" w:rsidR="00EA24E0" w:rsidRDefault="00EA24E0" w:rsidP="00594A63">
            <w:pPr>
              <w:pStyle w:val="ListParagraph"/>
              <w:numPr>
                <w:ilvl w:val="0"/>
                <w:numId w:val="3"/>
              </w:numPr>
              <w:autoSpaceDE w:val="0"/>
              <w:autoSpaceDN w:val="0"/>
              <w:adjustRightInd w:val="0"/>
              <w:snapToGrid w:val="0"/>
              <w:spacing w:after="0"/>
            </w:pPr>
            <w:r>
              <w:t>Observation 10</w:t>
            </w:r>
            <w:r>
              <w:tab/>
              <w:t xml:space="preserve">Moving cells suffer from recurrent handovers: In these cells, the </w:t>
            </w:r>
            <w:proofErr w:type="spellStart"/>
            <w:r>
              <w:t>signaling</w:t>
            </w:r>
            <w:proofErr w:type="spellEnd"/>
            <w:r>
              <w:t xml:space="preserve"> overhead due to HOs may consume a significant part of cell bandwidth</w:t>
            </w:r>
          </w:p>
          <w:p w14:paraId="05ED5DF7" w14:textId="77777777" w:rsidR="00EA24E0" w:rsidRDefault="00EA24E0" w:rsidP="00594A63">
            <w:pPr>
              <w:pStyle w:val="ListParagraph"/>
              <w:numPr>
                <w:ilvl w:val="0"/>
                <w:numId w:val="3"/>
              </w:numPr>
              <w:autoSpaceDE w:val="0"/>
              <w:autoSpaceDN w:val="0"/>
              <w:adjustRightInd w:val="0"/>
              <w:snapToGrid w:val="0"/>
              <w:spacing w:after="0"/>
            </w:pPr>
            <w:r>
              <w:t>Observation 11</w:t>
            </w:r>
            <w:r>
              <w:tab/>
              <w:t xml:space="preserve">The Handover rate and the average signalling overhead on an Earth-fixed cell </w:t>
            </w:r>
            <w:proofErr w:type="gramStart"/>
            <w:r>
              <w:t>are  much</w:t>
            </w:r>
            <w:proofErr w:type="gramEnd"/>
            <w:r>
              <w:t xml:space="preserve"> less than on an Earth-moving cell</w:t>
            </w:r>
          </w:p>
          <w:p w14:paraId="7E3A8C6B" w14:textId="77777777" w:rsidR="00EA24E0" w:rsidRDefault="00EA24E0" w:rsidP="00594A63">
            <w:pPr>
              <w:pStyle w:val="ListParagraph"/>
              <w:numPr>
                <w:ilvl w:val="0"/>
                <w:numId w:val="3"/>
              </w:numPr>
              <w:autoSpaceDE w:val="0"/>
              <w:autoSpaceDN w:val="0"/>
              <w:adjustRightInd w:val="0"/>
              <w:snapToGrid w:val="0"/>
              <w:spacing w:after="0"/>
            </w:pPr>
            <w:r>
              <w:t>Observation 12</w:t>
            </w:r>
            <w:r>
              <w:tab/>
              <w:t xml:space="preserve">The air interface capacity is a limiting </w:t>
            </w:r>
            <w:proofErr w:type="gramStart"/>
            <w:r>
              <w:t>factor  to</w:t>
            </w:r>
            <w:proofErr w:type="gramEnd"/>
            <w:r>
              <w:t xml:space="preserve"> increasing the cell size and the number of beams per cell. </w:t>
            </w:r>
            <w:proofErr w:type="gramStart"/>
            <w:r>
              <w:t>Therefore,  using</w:t>
            </w:r>
            <w:proofErr w:type="gramEnd"/>
            <w:r>
              <w:t xml:space="preserve"> a multi-beams cell to mitigate the higher HO Rate on Earth-moving cell might not be always possible</w:t>
            </w:r>
          </w:p>
          <w:p w14:paraId="2729CDD9" w14:textId="77777777" w:rsidR="00EA24E0" w:rsidRDefault="00EA24E0" w:rsidP="00594A63">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ListParagraph"/>
              <w:numPr>
                <w:ilvl w:val="0"/>
                <w:numId w:val="3"/>
              </w:numPr>
              <w:autoSpaceDE w:val="0"/>
              <w:autoSpaceDN w:val="0"/>
              <w:adjustRightInd w:val="0"/>
              <w:snapToGrid w:val="0"/>
              <w:spacing w:after="0"/>
            </w:pPr>
            <w:r>
              <w:t>Observation 14</w:t>
            </w:r>
            <w:r>
              <w:tab/>
              <w:t xml:space="preserve">In case of moving cell deployment where the HO is frequent, the </w:t>
            </w:r>
            <w:proofErr w:type="gramStart"/>
            <w:r>
              <w:t>recurrent  user</w:t>
            </w:r>
            <w:proofErr w:type="gramEnd"/>
            <w:r>
              <w:t xml:space="preserve"> plane data transfer interruption may cause a bad user experience in time critical data communication like </w:t>
            </w:r>
            <w:proofErr w:type="spellStart"/>
            <w:r>
              <w:t>VoNR</w:t>
            </w:r>
            <w:proofErr w:type="spellEnd"/>
            <w:r>
              <w:t xml:space="preserve"> (Voice over NR)</w:t>
            </w:r>
          </w:p>
          <w:p w14:paraId="42C4158F" w14:textId="77777777" w:rsidR="00EA24E0" w:rsidRDefault="00EA24E0" w:rsidP="00594A63">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ListParagraph"/>
              <w:numPr>
                <w:ilvl w:val="0"/>
                <w:numId w:val="3"/>
              </w:numPr>
              <w:autoSpaceDE w:val="0"/>
              <w:autoSpaceDN w:val="0"/>
              <w:adjustRightInd w:val="0"/>
              <w:snapToGrid w:val="0"/>
              <w:spacing w:after="0"/>
            </w:pPr>
            <w:r>
              <w:t>Observation 16</w:t>
            </w:r>
            <w:r>
              <w:tab/>
              <w:t xml:space="preserve">In case of fixed cell, the processing load related to Handovers will be high in shorts periods, while zero at other times. By spreading the period during which the handover </w:t>
            </w:r>
            <w:proofErr w:type="gramStart"/>
            <w:r>
              <w:t>happen</w:t>
            </w:r>
            <w:proofErr w:type="gramEnd"/>
            <w:r>
              <w:t>, the peak in processing power and potential overload of the PRACH resources of the target satellite could be relaxed</w:t>
            </w:r>
          </w:p>
          <w:p w14:paraId="651A7C06" w14:textId="77777777" w:rsidR="00EA24E0" w:rsidRDefault="00EA24E0" w:rsidP="00594A63">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ListParagraph"/>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ListParagraph"/>
              <w:numPr>
                <w:ilvl w:val="0"/>
                <w:numId w:val="3"/>
              </w:numPr>
            </w:pPr>
            <w:r>
              <w:t xml:space="preserve">Observation 1: It is beneficial for the 5G system / </w:t>
            </w:r>
            <w:proofErr w:type="spellStart"/>
            <w:r>
              <w:t>gNB</w:t>
            </w:r>
            <w:proofErr w:type="spellEnd"/>
            <w:r>
              <w:t xml:space="preserve"> to be aware of the transparent satellite’s (time-varying) gain factors.</w:t>
            </w:r>
          </w:p>
          <w:p w14:paraId="4695708E" w14:textId="77777777" w:rsidR="00EA24E0" w:rsidRDefault="00EA24E0" w:rsidP="00594A63">
            <w:pPr>
              <w:pStyle w:val="ListParagraph"/>
              <w:numPr>
                <w:ilvl w:val="0"/>
                <w:numId w:val="3"/>
              </w:numPr>
            </w:pPr>
            <w:r>
              <w:t xml:space="preserve">Observation 2: The </w:t>
            </w:r>
            <w:proofErr w:type="spellStart"/>
            <w:r>
              <w:t>gNB</w:t>
            </w:r>
            <w:proofErr w:type="spellEnd"/>
            <w:r>
              <w:t xml:space="preserve"> location relative to the NTN-GW may impact the NTN user experience.</w:t>
            </w:r>
          </w:p>
          <w:p w14:paraId="6E0BDC5D" w14:textId="77777777" w:rsidR="00EA24E0" w:rsidRDefault="00EA24E0" w:rsidP="00594A63">
            <w:pPr>
              <w:pStyle w:val="ListParagraph"/>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ListParagraph"/>
              <w:numPr>
                <w:ilvl w:val="0"/>
                <w:numId w:val="3"/>
              </w:numPr>
            </w:pPr>
            <w:r>
              <w:t xml:space="preserve">Proposal 2: RAN1 to clarify that the satellite does not terminate the </w:t>
            </w:r>
            <w:proofErr w:type="spellStart"/>
            <w:r>
              <w:t>Uu</w:t>
            </w:r>
            <w:proofErr w:type="spellEnd"/>
            <w:r>
              <w:t xml:space="preserve">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ListParagraph"/>
              <w:numPr>
                <w:ilvl w:val="0"/>
                <w:numId w:val="3"/>
              </w:numPr>
            </w:pPr>
            <w:r w:rsidRPr="000A3273">
              <w:t>Proposal 6: RAN1 to define the maximum additional NR-</w:t>
            </w:r>
            <w:proofErr w:type="spellStart"/>
            <w:r w:rsidRPr="000A3273">
              <w:t>Uu</w:t>
            </w:r>
            <w:proofErr w:type="spellEnd"/>
            <w:r w:rsidRPr="000A3273">
              <w:t xml:space="preserve">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ListParagraph"/>
              <w:numPr>
                <w:ilvl w:val="0"/>
                <w:numId w:val="3"/>
              </w:numPr>
            </w:pPr>
            <w:r>
              <w:lastRenderedPageBreak/>
              <w:t xml:space="preserve">Observation 8: Different use cases may require different accuracy in the use of GNSS-assisted information. </w:t>
            </w:r>
          </w:p>
          <w:p w14:paraId="6099A270" w14:textId="77777777" w:rsidR="00EA24E0" w:rsidRDefault="00EA24E0" w:rsidP="00594A6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ListParagraph"/>
              <w:numPr>
                <w:ilvl w:val="0"/>
                <w:numId w:val="3"/>
              </w:numPr>
            </w:pPr>
            <w:r>
              <w:t xml:space="preserve">Observation 9: There are several sources of inaccuracy for estimating the time/frequency synchronization between UE and </w:t>
            </w:r>
            <w:proofErr w:type="spellStart"/>
            <w:r>
              <w:t>gNb</w:t>
            </w:r>
            <w:proofErr w:type="spellEnd"/>
            <w:r>
              <w:t xml:space="preserve"> by using GNSS location: lag of the ephemeris information, precision of the ephemeris data, GNSS inaccuracy, orbit perturbations and altitude modelling. </w:t>
            </w:r>
          </w:p>
          <w:p w14:paraId="3805EC4F" w14:textId="77777777" w:rsidR="00EA24E0" w:rsidRDefault="00EA24E0" w:rsidP="00594A63">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ListParagraph"/>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ListParagraph"/>
              <w:numPr>
                <w:ilvl w:val="0"/>
                <w:numId w:val="3"/>
              </w:numPr>
            </w:pPr>
            <w:r>
              <w:t xml:space="preserve">Proposal 9: RAN1 to discuss the total allowed GNSS inaccuracy for different GNSS assisted use cases. And </w:t>
            </w:r>
            <w:proofErr w:type="spellStart"/>
            <w:r>
              <w:t>wether</w:t>
            </w:r>
            <w:proofErr w:type="spellEnd"/>
            <w:r>
              <w:t xml:space="preserve"> the use of GNSS is feasible for certain use cases.</w:t>
            </w:r>
          </w:p>
          <w:p w14:paraId="16B7B442" w14:textId="77777777" w:rsidR="00EA24E0" w:rsidRDefault="00EA24E0" w:rsidP="00594A63">
            <w:pPr>
              <w:pStyle w:val="ListParagraph"/>
              <w:numPr>
                <w:ilvl w:val="0"/>
                <w:numId w:val="3"/>
              </w:numPr>
            </w:pPr>
            <w:r>
              <w:t>Proposal 10: RAN1 to discuss which GNSS assistance information is available to the NTN UE.</w:t>
            </w:r>
          </w:p>
          <w:p w14:paraId="208B0006" w14:textId="77777777" w:rsidR="00EA24E0" w:rsidRDefault="00EA24E0" w:rsidP="00594A63">
            <w:pPr>
              <w:pStyle w:val="ListParagraph"/>
              <w:numPr>
                <w:ilvl w:val="0"/>
                <w:numId w:val="3"/>
              </w:numPr>
            </w:pPr>
            <w:r>
              <w:t xml:space="preserve">Proposal 11: RAN1 to define at least one GNSS accuracy model in 3D space and with time </w:t>
            </w:r>
            <w:proofErr w:type="spellStart"/>
            <w:r>
              <w:t>varing</w:t>
            </w:r>
            <w:proofErr w:type="spellEnd"/>
            <w:r>
              <w:t xml:space="preserve"> behaviour.</w:t>
            </w:r>
          </w:p>
          <w:p w14:paraId="0F8CBAED" w14:textId="77777777" w:rsidR="00EA24E0" w:rsidRDefault="00EA24E0" w:rsidP="00594A6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ListParagraph"/>
              <w:numPr>
                <w:ilvl w:val="0"/>
                <w:numId w:val="4"/>
              </w:numPr>
              <w:autoSpaceDE w:val="0"/>
              <w:autoSpaceDN w:val="0"/>
              <w:adjustRightInd w:val="0"/>
              <w:snapToGrid w:val="0"/>
              <w:spacing w:after="0"/>
            </w:pPr>
            <w:r>
              <w:t xml:space="preserve">Proposal 2: In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w:t>
            </w:r>
          </w:p>
          <w:p w14:paraId="5BA3B551" w14:textId="77777777" w:rsidR="00EA24E0" w:rsidRDefault="00EA24E0" w:rsidP="00594A63">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lastRenderedPageBreak/>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 xml:space="preserve">Alt 1: Geography isolating to mitigate mutual interference from ATG </w:t>
            </w:r>
            <w:proofErr w:type="spellStart"/>
            <w:r w:rsidRPr="00DD7E1F">
              <w:rPr>
                <w:bCs/>
                <w:iCs/>
              </w:rPr>
              <w:t>gNB</w:t>
            </w:r>
            <w:proofErr w:type="spellEnd"/>
            <w:r w:rsidRPr="00DD7E1F">
              <w:rPr>
                <w:bCs/>
                <w:iCs/>
              </w:rPr>
              <w:t xml:space="preserve"> to terrestrial network (including terrestrial </w:t>
            </w:r>
            <w:proofErr w:type="spellStart"/>
            <w:r w:rsidRPr="00DD7E1F">
              <w:rPr>
                <w:bCs/>
                <w:iCs/>
              </w:rPr>
              <w:t>gNB</w:t>
            </w:r>
            <w:proofErr w:type="spellEnd"/>
            <w:r w:rsidRPr="00DD7E1F">
              <w:rPr>
                <w:bCs/>
                <w:iCs/>
              </w:rPr>
              <w:t xml:space="preserve"> and UE).</w:t>
            </w:r>
          </w:p>
          <w:p w14:paraId="59B202FB" w14:textId="77777777" w:rsidR="00EA24E0" w:rsidRDefault="00EA24E0" w:rsidP="00594A63">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w:t>
            </w:r>
            <w:proofErr w:type="spellStart"/>
            <w:r w:rsidRPr="0082687C">
              <w:t>DataToUL</w:t>
            </w:r>
            <w:proofErr w:type="spellEnd"/>
            <w:r w:rsidRPr="0082687C">
              <w:t>-ACK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lastRenderedPageBreak/>
              <w:t>Asia Pacific Telecom</w:t>
            </w:r>
          </w:p>
        </w:tc>
        <w:tc>
          <w:tcPr>
            <w:tcW w:w="8271" w:type="dxa"/>
            <w:shd w:val="clear" w:color="auto" w:fill="auto"/>
            <w:vAlign w:val="center"/>
          </w:tcPr>
          <w:p w14:paraId="6130DA74" w14:textId="77777777" w:rsidR="00EA24E0" w:rsidRPr="0067263F" w:rsidRDefault="00EA24E0" w:rsidP="00594A63">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ListParagraph"/>
              <w:numPr>
                <w:ilvl w:val="0"/>
                <w:numId w:val="4"/>
              </w:numPr>
            </w:pPr>
            <w:r>
              <w:t xml:space="preserve">Proposal </w:t>
            </w:r>
            <w:proofErr w:type="gramStart"/>
            <w:r>
              <w:t>1:</w:t>
            </w:r>
            <w:r w:rsidRPr="0067263F">
              <w:t>Reference</w:t>
            </w:r>
            <w:proofErr w:type="gramEnd"/>
            <w:r w:rsidRPr="0067263F">
              <w:t xml:space="preserv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proofErr w:type="spellStart"/>
            <w:r>
              <w:rPr>
                <w:rFonts w:cs="Arial"/>
              </w:rPr>
              <w:t>Nomor</w:t>
            </w:r>
            <w:proofErr w:type="spellEnd"/>
          </w:p>
        </w:tc>
        <w:tc>
          <w:tcPr>
            <w:tcW w:w="8271" w:type="dxa"/>
            <w:shd w:val="clear" w:color="auto" w:fill="auto"/>
            <w:vAlign w:val="center"/>
          </w:tcPr>
          <w:p w14:paraId="0FDE6023" w14:textId="77777777" w:rsidR="00EA24E0" w:rsidRDefault="00EA24E0" w:rsidP="00594A63">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 xml:space="preserve">is implementation dependent and it is already in operation for some </w:t>
      </w:r>
      <w:proofErr w:type="gramStart"/>
      <w:r w:rsidRPr="00A42324">
        <w:rPr>
          <w:lang w:eastAsia="ko-KR"/>
        </w:rPr>
        <w:t>satellites</w:t>
      </w:r>
      <w:proofErr w:type="gramEnd"/>
      <w:r w:rsidRPr="00A42324">
        <w:rPr>
          <w:lang w:eastAsia="ko-KR"/>
        </w:rPr>
        <w:t xml:space="preserve">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lastRenderedPageBreak/>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7D2C8A"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proofErr w:type="spellStart"/>
            <w:r w:rsidR="00A42324" w:rsidRPr="004F32F8">
              <w:rPr>
                <w:rFonts w:ascii="Arial" w:eastAsia="Times New Roman" w:hAnsi="Arial" w:cs="Arial"/>
                <w:b/>
                <w:bCs/>
                <w:color w:val="FFFFFF" w:themeColor="light1"/>
                <w:kern w:val="24"/>
                <w:sz w:val="18"/>
                <w:szCs w:val="18"/>
                <w:lang w:eastAsia="fr-FR"/>
              </w:rPr>
              <w:t>Signaling</w:t>
            </w:r>
            <w:proofErr w:type="spellEnd"/>
            <w:r w:rsidR="00A42324" w:rsidRPr="004F32F8">
              <w:rPr>
                <w:rFonts w:ascii="Arial" w:eastAsia="Times New Roman" w:hAnsi="Arial" w:cs="Arial"/>
                <w:b/>
                <w:bCs/>
                <w:color w:val="FFFFFF" w:themeColor="light1"/>
                <w:kern w:val="24"/>
                <w:sz w:val="18"/>
                <w:szCs w:val="18"/>
                <w:lang w:eastAsia="fr-FR"/>
              </w:rPr>
              <w:t xml:space="preserve">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w:t>
            </w:r>
            <w:proofErr w:type="spellStart"/>
            <w:r w:rsidRPr="004F32F8">
              <w:rPr>
                <w:rFonts w:ascii="Arial" w:eastAsia="Times New Roman" w:hAnsi="Arial" w:cs="Arial"/>
                <w:color w:val="000000" w:themeColor="dark1"/>
                <w:kern w:val="24"/>
                <w:sz w:val="18"/>
                <w:szCs w:val="18"/>
                <w:lang w:eastAsia="fr-FR"/>
              </w:rPr>
              <w:t>signaling</w:t>
            </w:r>
            <w:proofErr w:type="spellEnd"/>
            <w:r w:rsidRPr="004F32F8">
              <w:rPr>
                <w:rFonts w:ascii="Arial" w:eastAsia="Times New Roman" w:hAnsi="Arial" w:cs="Arial"/>
                <w:color w:val="000000" w:themeColor="dark1"/>
                <w:kern w:val="24"/>
                <w:sz w:val="18"/>
                <w:szCs w:val="18"/>
                <w:lang w:eastAsia="fr-FR"/>
              </w:rPr>
              <w:t xml:space="preserve">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 xml:space="preserve">Only </w:t>
            </w:r>
            <w:proofErr w:type="gramStart"/>
            <w:r w:rsidRPr="004F32F8">
              <w:rPr>
                <w:rFonts w:ascii="Arial" w:eastAsia="Times New Roman" w:hAnsi="Arial" w:cs="Arial"/>
                <w:color w:val="000000" w:themeColor="dark1"/>
                <w:kern w:val="24"/>
                <w:sz w:val="18"/>
                <w:szCs w:val="18"/>
                <w:lang w:eastAsia="fr-FR"/>
              </w:rPr>
              <w:t>interruption  at</w:t>
            </w:r>
            <w:proofErr w:type="gramEnd"/>
            <w:r w:rsidRPr="004F32F8">
              <w:rPr>
                <w:rFonts w:ascii="Arial" w:eastAsia="Times New Roman" w:hAnsi="Arial" w:cs="Arial"/>
                <w:color w:val="000000" w:themeColor="dark1"/>
                <w:kern w:val="24"/>
                <w:sz w:val="18"/>
                <w:szCs w:val="18"/>
                <w:lang w:eastAsia="fr-FR"/>
              </w:rPr>
              <w:t xml:space="preserve">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proofErr w:type="gramStart"/>
            <w:r w:rsidRPr="004F32F8">
              <w:rPr>
                <w:rFonts w:ascii="Arial" w:eastAsia="Times New Roman" w:hAnsi="Arial" w:cs="Arial"/>
                <w:color w:val="000000" w:themeColor="dark1"/>
                <w:kern w:val="24"/>
                <w:sz w:val="18"/>
                <w:szCs w:val="18"/>
                <w:lang w:eastAsia="fr-FR"/>
              </w:rPr>
              <w:t>But,</w:t>
            </w:r>
            <w:proofErr w:type="gramEnd"/>
            <w:r w:rsidRPr="004F32F8">
              <w:rPr>
                <w:rFonts w:ascii="Arial" w:eastAsia="Times New Roman" w:hAnsi="Arial" w:cs="Arial"/>
                <w:color w:val="000000" w:themeColor="dark1"/>
                <w:kern w:val="24"/>
                <w:sz w:val="18"/>
                <w:szCs w:val="18"/>
                <w:lang w:eastAsia="fr-FR"/>
              </w:rPr>
              <w:t xml:space="preserve"> this is impacting mainly the moving cell; due to recurrent </w:t>
            </w:r>
            <w:proofErr w:type="spellStart"/>
            <w:r w:rsidRPr="004F32F8">
              <w:rPr>
                <w:rFonts w:ascii="Arial" w:eastAsia="Times New Roman" w:hAnsi="Arial" w:cs="Arial"/>
                <w:color w:val="000000" w:themeColor="dark1"/>
                <w:kern w:val="24"/>
                <w:sz w:val="18"/>
                <w:szCs w:val="18"/>
                <w:lang w:eastAsia="fr-FR"/>
              </w:rPr>
              <w:t>HOs.</w:t>
            </w:r>
            <w:proofErr w:type="spellEnd"/>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This may cause a bad user experience in time critical data communication like </w:t>
            </w:r>
            <w:proofErr w:type="spellStart"/>
            <w:r w:rsidRPr="004F32F8">
              <w:rPr>
                <w:rFonts w:ascii="Arial" w:eastAsia="Times New Roman" w:hAnsi="Arial" w:cs="Arial"/>
                <w:color w:val="000000" w:themeColor="dark1"/>
                <w:kern w:val="24"/>
                <w:sz w:val="18"/>
                <w:szCs w:val="18"/>
                <w:lang w:eastAsia="fr-FR"/>
              </w:rPr>
              <w:t>VoNR</w:t>
            </w:r>
            <w:proofErr w:type="spellEnd"/>
            <w:r w:rsidRPr="004F32F8">
              <w:rPr>
                <w:rFonts w:ascii="Arial" w:eastAsia="Times New Roman" w:hAnsi="Arial" w:cs="Arial"/>
                <w:color w:val="000000" w:themeColor="dark1"/>
                <w:kern w:val="24"/>
                <w:sz w:val="18"/>
                <w:szCs w:val="18"/>
                <w:lang w:eastAsia="fr-FR"/>
              </w:rPr>
              <w:t xml:space="preserve">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lastRenderedPageBreak/>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 xml:space="preserve">Samsung proposed that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w:t>
      </w:r>
      <w:proofErr w:type="spellStart"/>
      <w:r w:rsidR="008D615D">
        <w:t>i</w:t>
      </w:r>
      <w:proofErr w:type="spellEnd"/>
      <w:r w:rsidR="008D615D">
        <w:t xml:space="preserve">)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lastRenderedPageBreak/>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proofErr w:type="spellStart"/>
      <w:r>
        <w:t>Nomor</w:t>
      </w:r>
      <w:proofErr w:type="spellEnd"/>
      <w:r>
        <w:t xml:space="preserve">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6.4: There is no need to discuss positioning enhancement in RAN1 as RAN1 is not tasked to </w:t>
            </w:r>
            <w:proofErr w:type="gramStart"/>
            <w:r w:rsidRPr="00277988">
              <w:rPr>
                <w:bCs/>
                <w:iCs/>
              </w:rPr>
              <w:t>look into</w:t>
            </w:r>
            <w:proofErr w:type="gramEnd"/>
            <w:r w:rsidRPr="00277988">
              <w:rPr>
                <w:bCs/>
                <w:iCs/>
              </w:rPr>
              <w:t xml:space="preserve">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w:t>
            </w:r>
            <w:proofErr w:type="spellStart"/>
            <w:r>
              <w:t>gNB</w:t>
            </w:r>
            <w:proofErr w:type="spellEnd"/>
            <w:r>
              <w:t xml:space="preserve">. </w:t>
            </w:r>
            <w:r>
              <w:lastRenderedPageBreak/>
              <w:t>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 xml:space="preserve">Regarding 6.5, we would like to raise the fact that UE reporting is normally based on measurements/observations and represents a commitment into a testable situation (like a given throughput or BLER). With </w:t>
            </w:r>
            <w:proofErr w:type="gramStart"/>
            <w:r>
              <w:t>prediction based</w:t>
            </w:r>
            <w:proofErr w:type="gramEnd"/>
            <w:r>
              <w:t xml:space="preserve">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 xml:space="preserve">Regarding 6.6, we see some potential in utilizing the </w:t>
            </w:r>
            <w:proofErr w:type="spellStart"/>
            <w:r>
              <w:t>referenceTimeInfo</w:t>
            </w:r>
            <w:proofErr w:type="spellEnd"/>
            <w:r>
              <w:t xml:space="preserve">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t>
            </w:r>
            <w:proofErr w:type="gramStart"/>
            <w:r>
              <w:rPr>
                <w:bCs/>
                <w:iCs/>
              </w:rPr>
              <w:t>work load</w:t>
            </w:r>
            <w:proofErr w:type="gramEnd"/>
            <w:r>
              <w:rPr>
                <w:bCs/>
                <w:iCs/>
              </w:rPr>
              <w:t xml:space="preserve">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 xml:space="preserve">6.7: It will be good to clarify about the intention and what further evaluation is </w:t>
            </w:r>
            <w:proofErr w:type="gramStart"/>
            <w:r>
              <w:rPr>
                <w:bCs/>
                <w:iCs/>
              </w:rPr>
              <w:t>actually required</w:t>
            </w:r>
            <w:proofErr w:type="gramEnd"/>
            <w:r>
              <w:rPr>
                <w:bCs/>
                <w:iCs/>
              </w:rPr>
              <w:t>.</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proofErr w:type="gramStart"/>
            <w:r>
              <w:t>first priority</w:t>
            </w:r>
            <w:proofErr w:type="gramEnd"/>
            <w:r>
              <w:t xml:space="preserve">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 xml:space="preserve">Regarding 6.7, if additional SLS evaluations are needed as part of the WI, the simulation framework proposed by </w:t>
            </w:r>
            <w:proofErr w:type="spellStart"/>
            <w:r>
              <w:t>Nomor</w:t>
            </w:r>
            <w:proofErr w:type="spellEnd"/>
            <w:r>
              <w:t xml:space="preserve">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proofErr w:type="gramStart"/>
            <w:r>
              <w:rPr>
                <w:rFonts w:eastAsia="MS Mincho"/>
                <w:bCs/>
                <w:iCs/>
                <w:lang w:eastAsia="ja-JP"/>
              </w:rPr>
              <w:t xml:space="preserve">6.6  </w:t>
            </w:r>
            <w:r w:rsidRPr="00945FDA">
              <w:rPr>
                <w:rFonts w:eastAsia="MS Mincho"/>
                <w:bCs/>
                <w:iCs/>
                <w:lang w:eastAsia="ja-JP"/>
              </w:rPr>
              <w:t>To</w:t>
            </w:r>
            <w:proofErr w:type="gramEnd"/>
            <w:r w:rsidRPr="00945FDA">
              <w:rPr>
                <w:rFonts w:eastAsia="MS Mincho"/>
                <w:bCs/>
                <w:iCs/>
                <w:lang w:eastAsia="ja-JP"/>
              </w:rPr>
              <w:t xml:space="preserve">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lastRenderedPageBreak/>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 xml:space="preserve">is </w:t>
            </w:r>
            <w:proofErr w:type="gramStart"/>
            <w:r>
              <w:rPr>
                <w:bCs/>
                <w:iCs/>
              </w:rPr>
              <w:t>first priority</w:t>
            </w:r>
            <w:proofErr w:type="gramEnd"/>
            <w:r>
              <w:rPr>
                <w:bCs/>
                <w:iCs/>
              </w:rPr>
              <w:t xml:space="preserve">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 xml:space="preserve">6.1 it should </w:t>
            </w:r>
            <w:proofErr w:type="gramStart"/>
            <w:r>
              <w:rPr>
                <w:bCs/>
                <w:iCs/>
                <w:lang w:eastAsia="ko-KR"/>
              </w:rPr>
              <w:t>clarified</w:t>
            </w:r>
            <w:proofErr w:type="gramEnd"/>
            <w:r>
              <w:rPr>
                <w:bCs/>
                <w:iCs/>
                <w:lang w:eastAsia="ko-KR"/>
              </w:rPr>
              <w:t>.</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296133C5" w:rsidR="00B3311F" w:rsidRDefault="005A366B" w:rsidP="005A366B">
      <w:pPr>
        <w:pStyle w:val="Heading2"/>
        <w:rPr>
          <w:b/>
          <w:lang w:eastAsia="ko-KR"/>
        </w:rPr>
      </w:pPr>
      <w:r w:rsidRPr="005A366B">
        <w:rPr>
          <w:lang w:eastAsia="ko-KR"/>
        </w:rPr>
        <w:t>Updated proposal based on company views</w:t>
      </w:r>
    </w:p>
    <w:p w14:paraId="761E8FE1" w14:textId="296F2263" w:rsidR="0049288D"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Header"/>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lastRenderedPageBreak/>
        <w:t>Discuss the scenarios and need a for reference time information solution for timing relationships and UL synchronization in AI 8.4.1 and AI 8.4.2 respectively.</w:t>
      </w:r>
    </w:p>
    <w:p w14:paraId="4BE0500D" w14:textId="77777777" w:rsidR="00600805" w:rsidRDefault="00600805" w:rsidP="00B3311F">
      <w:pPr>
        <w:pStyle w:val="Header"/>
        <w:tabs>
          <w:tab w:val="left" w:pos="666"/>
        </w:tabs>
        <w:spacing w:after="120"/>
        <w:ind w:right="-57"/>
        <w:jc w:val="both"/>
        <w:rPr>
          <w:b w:val="0"/>
          <w:lang w:eastAsia="ko-KR"/>
        </w:rPr>
      </w:pPr>
    </w:p>
    <w:tbl>
      <w:tblPr>
        <w:tblStyle w:val="TableGrid"/>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BodyText"/>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BodyText"/>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BodyText"/>
              <w:spacing w:line="256" w:lineRule="auto"/>
              <w:rPr>
                <w:rFonts w:cs="Arial"/>
              </w:rPr>
            </w:pPr>
            <w:r>
              <w:rPr>
                <w:rFonts w:cs="Arial"/>
              </w:rPr>
              <w:t>SS</w:t>
            </w:r>
          </w:p>
        </w:tc>
        <w:tc>
          <w:tcPr>
            <w:tcW w:w="7834" w:type="dxa"/>
          </w:tcPr>
          <w:p w14:paraId="635A72A6" w14:textId="2F75860F" w:rsidR="00FE0768" w:rsidRDefault="001334D8" w:rsidP="00376D01">
            <w:pPr>
              <w:pStyle w:val="BodyText"/>
              <w:spacing w:line="256" w:lineRule="auto"/>
              <w:rPr>
                <w:rFonts w:cs="Arial"/>
              </w:rPr>
            </w:pPr>
            <w:r>
              <w:rPr>
                <w:rFonts w:cs="Arial"/>
              </w:rPr>
              <w:t>Support</w:t>
            </w:r>
          </w:p>
        </w:tc>
      </w:tr>
      <w:tr w:rsidR="00FE0768" w14:paraId="2C95BE72" w14:textId="77777777" w:rsidTr="00376D01">
        <w:tc>
          <w:tcPr>
            <w:tcW w:w="1795" w:type="dxa"/>
          </w:tcPr>
          <w:p w14:paraId="69ACD8CC" w14:textId="59C7B1ED" w:rsidR="00FE0768" w:rsidRDefault="00EB1769" w:rsidP="00376D01">
            <w:pPr>
              <w:pStyle w:val="BodyText"/>
              <w:spacing w:line="256" w:lineRule="auto"/>
              <w:rPr>
                <w:rFonts w:cs="Arial"/>
              </w:rPr>
            </w:pPr>
            <w:r w:rsidRPr="00EB1769">
              <w:rPr>
                <w:rFonts w:cs="Arial"/>
              </w:rPr>
              <w:t>Huawei</w:t>
            </w:r>
          </w:p>
        </w:tc>
        <w:tc>
          <w:tcPr>
            <w:tcW w:w="7834" w:type="dxa"/>
          </w:tcPr>
          <w:p w14:paraId="2706025F" w14:textId="018724C0" w:rsidR="00FE0768" w:rsidRPr="00EB1769" w:rsidRDefault="00EB1769"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6-1. </w:t>
            </w:r>
            <w:r w:rsidR="00F65A54">
              <w:rPr>
                <w:rFonts w:eastAsiaTheme="minorEastAsia" w:cs="Arial"/>
                <w:lang w:eastAsia="zh-CN"/>
              </w:rPr>
              <w:t>Agree with Panasonic.</w:t>
            </w:r>
          </w:p>
        </w:tc>
      </w:tr>
      <w:tr w:rsidR="006D29B9" w14:paraId="1DCFBCE6" w14:textId="77777777" w:rsidTr="00376D01">
        <w:tc>
          <w:tcPr>
            <w:tcW w:w="1795" w:type="dxa"/>
          </w:tcPr>
          <w:p w14:paraId="07B7DD48" w14:textId="087B4209" w:rsidR="006D29B9" w:rsidRDefault="006D29B9" w:rsidP="006D29B9">
            <w:pPr>
              <w:pStyle w:val="BodyText"/>
              <w:spacing w:line="256" w:lineRule="auto"/>
              <w:rPr>
                <w:rFonts w:cs="Arial"/>
              </w:rPr>
            </w:pPr>
            <w:r>
              <w:rPr>
                <w:rFonts w:cs="Arial"/>
              </w:rPr>
              <w:t>Intel</w:t>
            </w:r>
          </w:p>
        </w:tc>
        <w:tc>
          <w:tcPr>
            <w:tcW w:w="7834" w:type="dxa"/>
          </w:tcPr>
          <w:p w14:paraId="33B0B9AC" w14:textId="7BA10757" w:rsidR="006D29B9" w:rsidRDefault="006D29B9" w:rsidP="006D29B9">
            <w:pPr>
              <w:pStyle w:val="BodyText"/>
              <w:spacing w:line="256" w:lineRule="auto"/>
              <w:rPr>
                <w:rFonts w:cs="Arial"/>
              </w:rPr>
            </w:pPr>
            <w:r>
              <w:rPr>
                <w:rFonts w:cs="Arial"/>
              </w:rPr>
              <w:t>Support proposal 6-1</w:t>
            </w:r>
          </w:p>
        </w:tc>
      </w:tr>
      <w:tr w:rsidR="00487182" w14:paraId="4E201C1E" w14:textId="77777777" w:rsidTr="00376D01">
        <w:tc>
          <w:tcPr>
            <w:tcW w:w="1795" w:type="dxa"/>
          </w:tcPr>
          <w:p w14:paraId="458E8CFC" w14:textId="56F45E49"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08C379B0" w14:textId="77D20795" w:rsidR="00487182" w:rsidRDefault="00487182" w:rsidP="00487182">
            <w:pPr>
              <w:pStyle w:val="BodyText"/>
              <w:spacing w:line="256" w:lineRule="auto"/>
              <w:rPr>
                <w:rFonts w:cs="Arial"/>
              </w:rPr>
            </w:pPr>
            <w:r>
              <w:rPr>
                <w:rFonts w:eastAsia="Malgun Gothic" w:cs="Arial"/>
                <w:lang w:eastAsia="ko-KR"/>
              </w:rPr>
              <w:t>Agree with Panasonic.</w:t>
            </w:r>
          </w:p>
        </w:tc>
      </w:tr>
      <w:tr w:rsidR="006D29B9" w14:paraId="2E249B00" w14:textId="77777777" w:rsidTr="00376D01">
        <w:tc>
          <w:tcPr>
            <w:tcW w:w="1795" w:type="dxa"/>
          </w:tcPr>
          <w:p w14:paraId="40E39A2B" w14:textId="5D917DA7" w:rsidR="006D29B9" w:rsidRDefault="00FB3917" w:rsidP="006D29B9">
            <w:pPr>
              <w:pStyle w:val="BodyText"/>
              <w:spacing w:line="256" w:lineRule="auto"/>
              <w:rPr>
                <w:rFonts w:cs="Arial"/>
              </w:rPr>
            </w:pPr>
            <w:r>
              <w:rPr>
                <w:rFonts w:cs="Arial" w:hint="eastAsia"/>
              </w:rPr>
              <w:t>OPPO</w:t>
            </w:r>
          </w:p>
        </w:tc>
        <w:tc>
          <w:tcPr>
            <w:tcW w:w="7834" w:type="dxa"/>
          </w:tcPr>
          <w:p w14:paraId="769E3357" w14:textId="6C2580E7" w:rsidR="006D29B9" w:rsidRDefault="00FB3917" w:rsidP="006D29B9">
            <w:pPr>
              <w:pStyle w:val="BodyText"/>
              <w:spacing w:line="256" w:lineRule="auto"/>
              <w:rPr>
                <w:rFonts w:cs="Arial"/>
              </w:rPr>
            </w:pPr>
            <w:r>
              <w:rPr>
                <w:rFonts w:cs="Arial" w:hint="eastAsia"/>
              </w:rPr>
              <w:t>S</w:t>
            </w:r>
            <w:r>
              <w:rPr>
                <w:rFonts w:cs="Arial"/>
              </w:rPr>
              <w:t>upport proposal 6-1</w:t>
            </w:r>
          </w:p>
        </w:tc>
      </w:tr>
      <w:tr w:rsidR="00CE13F7" w14:paraId="0B73CD1D" w14:textId="77777777" w:rsidTr="00376D01">
        <w:tc>
          <w:tcPr>
            <w:tcW w:w="1795" w:type="dxa"/>
          </w:tcPr>
          <w:p w14:paraId="4D5B155B" w14:textId="3CDB0247" w:rsidR="00CE13F7" w:rsidRDefault="00CE13F7" w:rsidP="006D29B9">
            <w:pPr>
              <w:pStyle w:val="BodyText"/>
              <w:spacing w:line="256" w:lineRule="auto"/>
              <w:rPr>
                <w:rFonts w:cs="Arial"/>
              </w:rPr>
            </w:pPr>
            <w:r w:rsidRPr="00450144">
              <w:t>Thales</w:t>
            </w:r>
          </w:p>
        </w:tc>
        <w:tc>
          <w:tcPr>
            <w:tcW w:w="7834" w:type="dxa"/>
          </w:tcPr>
          <w:p w14:paraId="3A4F3367" w14:textId="38F33F5A" w:rsidR="00CE13F7" w:rsidRDefault="00CE13F7" w:rsidP="006D29B9">
            <w:pPr>
              <w:pStyle w:val="BodyText"/>
              <w:spacing w:line="256" w:lineRule="auto"/>
              <w:rPr>
                <w:rFonts w:cs="Arial"/>
              </w:rPr>
            </w:pPr>
            <w:r w:rsidRPr="00450144">
              <w:t>Support</w:t>
            </w:r>
          </w:p>
        </w:tc>
      </w:tr>
      <w:tr w:rsidR="006D29B9" w14:paraId="3E04B473" w14:textId="77777777" w:rsidTr="00376D01">
        <w:tc>
          <w:tcPr>
            <w:tcW w:w="1795" w:type="dxa"/>
          </w:tcPr>
          <w:p w14:paraId="74908B14" w14:textId="43692DD9" w:rsidR="006D29B9" w:rsidRDefault="00BF2DC2" w:rsidP="006D29B9">
            <w:pPr>
              <w:pStyle w:val="BodyText"/>
              <w:spacing w:line="256" w:lineRule="auto"/>
              <w:rPr>
                <w:rFonts w:cs="Arial"/>
              </w:rPr>
            </w:pPr>
            <w:r>
              <w:rPr>
                <w:rFonts w:cs="Arial"/>
              </w:rPr>
              <w:t>APT</w:t>
            </w:r>
          </w:p>
        </w:tc>
        <w:tc>
          <w:tcPr>
            <w:tcW w:w="7834" w:type="dxa"/>
          </w:tcPr>
          <w:p w14:paraId="68346B49" w14:textId="22E4CAB8" w:rsidR="006D29B9" w:rsidRDefault="00BF2DC2" w:rsidP="006D29B9">
            <w:pPr>
              <w:pStyle w:val="BodyText"/>
              <w:spacing w:line="256" w:lineRule="auto"/>
              <w:rPr>
                <w:rFonts w:cs="Arial"/>
              </w:rPr>
            </w:pPr>
            <w:r>
              <w:rPr>
                <w:rFonts w:cs="Arial"/>
              </w:rPr>
              <w:t>Support</w:t>
            </w:r>
          </w:p>
        </w:tc>
      </w:tr>
      <w:tr w:rsidR="00A61439" w14:paraId="2961E5DD" w14:textId="77777777" w:rsidTr="00376D01">
        <w:tc>
          <w:tcPr>
            <w:tcW w:w="1795" w:type="dxa"/>
          </w:tcPr>
          <w:p w14:paraId="4F6DFB42" w14:textId="6A467C08" w:rsidR="00A61439" w:rsidRDefault="00A61439" w:rsidP="006D29B9">
            <w:pPr>
              <w:pStyle w:val="BodyText"/>
              <w:spacing w:line="256" w:lineRule="auto"/>
              <w:rPr>
                <w:rFonts w:cs="Arial"/>
              </w:rPr>
            </w:pPr>
            <w:r>
              <w:rPr>
                <w:rFonts w:cs="Arial"/>
              </w:rPr>
              <w:t>QC</w:t>
            </w:r>
          </w:p>
        </w:tc>
        <w:tc>
          <w:tcPr>
            <w:tcW w:w="7834" w:type="dxa"/>
          </w:tcPr>
          <w:p w14:paraId="494CFBBA" w14:textId="3488D7A6" w:rsidR="00A61439" w:rsidRDefault="00B65A69" w:rsidP="006D29B9">
            <w:pPr>
              <w:pStyle w:val="BodyText"/>
              <w:spacing w:line="256" w:lineRule="auto"/>
              <w:rPr>
                <w:rFonts w:cs="Arial"/>
              </w:rPr>
            </w:pPr>
            <w:r>
              <w:rPr>
                <w:rFonts w:cs="Arial"/>
              </w:rPr>
              <w:t>Agree in 8.4.2</w:t>
            </w:r>
          </w:p>
        </w:tc>
      </w:tr>
      <w:tr w:rsidR="005F7604" w14:paraId="3D30C7A7" w14:textId="77777777" w:rsidTr="00376D01">
        <w:tc>
          <w:tcPr>
            <w:tcW w:w="1795" w:type="dxa"/>
          </w:tcPr>
          <w:p w14:paraId="4D9977D9" w14:textId="13682537" w:rsidR="005F7604" w:rsidRDefault="005F7604" w:rsidP="006D29B9">
            <w:pPr>
              <w:pStyle w:val="BodyText"/>
              <w:spacing w:line="256" w:lineRule="auto"/>
              <w:rPr>
                <w:rFonts w:cs="Arial"/>
              </w:rPr>
            </w:pPr>
            <w:r>
              <w:rPr>
                <w:rFonts w:cs="Arial"/>
              </w:rPr>
              <w:t>MediaTek</w:t>
            </w:r>
          </w:p>
        </w:tc>
        <w:tc>
          <w:tcPr>
            <w:tcW w:w="7834" w:type="dxa"/>
          </w:tcPr>
          <w:p w14:paraId="1397AF67" w14:textId="1D6876C4" w:rsidR="005F7604" w:rsidRDefault="005F7604" w:rsidP="006D29B9">
            <w:pPr>
              <w:pStyle w:val="BodyText"/>
              <w:spacing w:line="256" w:lineRule="auto"/>
              <w:rPr>
                <w:rFonts w:cs="Arial"/>
              </w:rPr>
            </w:pPr>
            <w:r>
              <w:rPr>
                <w:rFonts w:cs="Arial"/>
              </w:rPr>
              <w:t>Support</w:t>
            </w:r>
          </w:p>
        </w:tc>
      </w:tr>
      <w:tr w:rsidR="000D7774" w14:paraId="53807DDA" w14:textId="77777777" w:rsidTr="00376D01">
        <w:tc>
          <w:tcPr>
            <w:tcW w:w="1795" w:type="dxa"/>
          </w:tcPr>
          <w:p w14:paraId="2D878A79" w14:textId="786F7CA6" w:rsidR="000D7774" w:rsidRDefault="000D7774" w:rsidP="006D29B9">
            <w:pPr>
              <w:pStyle w:val="BodyText"/>
              <w:spacing w:line="256" w:lineRule="auto"/>
              <w:rPr>
                <w:rFonts w:cs="Arial"/>
              </w:rPr>
            </w:pPr>
            <w:r>
              <w:rPr>
                <w:rFonts w:cs="Arial"/>
              </w:rPr>
              <w:t>Nokia</w:t>
            </w:r>
          </w:p>
        </w:tc>
        <w:tc>
          <w:tcPr>
            <w:tcW w:w="7834" w:type="dxa"/>
          </w:tcPr>
          <w:p w14:paraId="43D813E8" w14:textId="044229B5" w:rsidR="000D7774" w:rsidRDefault="000D7774" w:rsidP="006D29B9">
            <w:pPr>
              <w:pStyle w:val="BodyText"/>
              <w:spacing w:line="256" w:lineRule="auto"/>
              <w:rPr>
                <w:rFonts w:cs="Arial"/>
              </w:rPr>
            </w:pPr>
            <w:r>
              <w:rPr>
                <w:rFonts w:cs="Arial"/>
              </w:rPr>
              <w:t>OK</w:t>
            </w:r>
            <w:r w:rsidR="0050080D">
              <w:rPr>
                <w:rFonts w:cs="Arial"/>
              </w:rPr>
              <w:t xml:space="preserve"> in principle, even that we think that it is important to have some agreements on the transmit power/gain model of the satellite.</w:t>
            </w:r>
          </w:p>
        </w:tc>
      </w:tr>
    </w:tbl>
    <w:p w14:paraId="49A7CBC4" w14:textId="77777777" w:rsidR="00B3311F" w:rsidRPr="00E24B51" w:rsidRDefault="00B3311F" w:rsidP="007339B0">
      <w:pPr>
        <w:pStyle w:val="Header"/>
        <w:tabs>
          <w:tab w:val="left" w:pos="666"/>
        </w:tabs>
        <w:spacing w:after="120"/>
        <w:ind w:right="-57"/>
        <w:jc w:val="both"/>
        <w:rPr>
          <w:b w:val="0"/>
          <w:lang w:eastAsia="ko-KR"/>
        </w:rPr>
      </w:pPr>
      <w:bookmarkStart w:id="4" w:name="_GoBack"/>
      <w:bookmarkEnd w:id="4"/>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w:t>
      </w:r>
      <w:proofErr w:type="spellStart"/>
      <w:r w:rsidR="008F7580">
        <w:rPr>
          <w:lang w:val="en-US"/>
        </w:rPr>
        <w:t>HiSilicon</w:t>
      </w:r>
      <w:proofErr w:type="spellEnd"/>
      <w:r w:rsidR="008F7580">
        <w:rPr>
          <w:lang w:val="en-US"/>
        </w:rPr>
        <w:t xml:space="preserve">,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w:t>
      </w:r>
      <w:proofErr w:type="spellStart"/>
      <w:r w:rsidR="008F7580">
        <w:rPr>
          <w:lang w:val="en-US"/>
        </w:rPr>
        <w:t>Nomor</w:t>
      </w:r>
      <w:proofErr w:type="spellEnd"/>
      <w:r w:rsidR="008F7580">
        <w:rPr>
          <w:lang w:val="en-US"/>
        </w:rPr>
        <w:t xml:space="preserve"> Research GmbH, </w:t>
      </w:r>
      <w:proofErr w:type="gramStart"/>
      <w:r w:rsidR="008F7580">
        <w:rPr>
          <w:lang w:val="en-US"/>
        </w:rPr>
        <w:t xml:space="preserve">Thales,  </w:t>
      </w:r>
      <w:r w:rsidRPr="000D34BC">
        <w:rPr>
          <w:lang w:val="en-US"/>
        </w:rPr>
        <w:t>Study</w:t>
      </w:r>
      <w:proofErr w:type="gramEnd"/>
      <w:r w:rsidRPr="000D34BC">
        <w:rPr>
          <w:lang w:val="en-US"/>
        </w:rPr>
        <w:t xml:space="preserve">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 xml:space="preserve">Other Aspects </w:t>
      </w:r>
      <w:proofErr w:type="gramStart"/>
      <w:r w:rsidRPr="000D34BC">
        <w:rPr>
          <w:lang w:val="en-US"/>
        </w:rPr>
        <w:t>of  NR</w:t>
      </w:r>
      <w:proofErr w:type="gramEnd"/>
      <w:r w:rsidRPr="000D34BC">
        <w:rPr>
          <w:lang w:val="en-US"/>
        </w:rPr>
        <w:t>-NTN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 xml:space="preserve">NR-NTN: Physical </w:t>
      </w:r>
      <w:proofErr w:type="gramStart"/>
      <w:r w:rsidRPr="000D34BC">
        <w:rPr>
          <w:lang w:val="en-US"/>
        </w:rPr>
        <w:t>Random Access</w:t>
      </w:r>
      <w:proofErr w:type="gramEnd"/>
      <w:r w:rsidRPr="000D34BC">
        <w:rPr>
          <w:lang w:val="en-US"/>
        </w:rPr>
        <w:t xml:space="preserve">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lastRenderedPageBreak/>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proofErr w:type="gramStart"/>
      <w:r>
        <w:rPr>
          <w:lang w:val="en-US"/>
        </w:rPr>
        <w:t>, ,</w:t>
      </w:r>
      <w:proofErr w:type="gramEnd"/>
      <w:r>
        <w:rPr>
          <w:lang w:val="en-US"/>
        </w:rPr>
        <w:t xml:space="preserve">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w:t>
      </w:r>
      <w:proofErr w:type="gramStart"/>
      <w:r>
        <w:rPr>
          <w:lang w:val="en-US"/>
        </w:rPr>
        <w:t xml:space="preserve">Bell,  </w:t>
      </w:r>
      <w:r w:rsidRPr="000D34BC">
        <w:rPr>
          <w:lang w:val="en-US"/>
        </w:rPr>
        <w:t>Clarification</w:t>
      </w:r>
      <w:proofErr w:type="gramEnd"/>
      <w:r w:rsidRPr="000D34BC">
        <w:rPr>
          <w:lang w:val="en-US"/>
        </w:rPr>
        <w:t xml:space="preserve">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proofErr w:type="gramStart"/>
      <w:r>
        <w:rPr>
          <w:lang w:val="en-US"/>
        </w:rPr>
        <w:t>, ,</w:t>
      </w:r>
      <w:proofErr w:type="gramEnd"/>
      <w:r>
        <w:rPr>
          <w:lang w:val="en-US"/>
        </w:rPr>
        <w:t xml:space="preserve">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proofErr w:type="gramStart"/>
      <w:r>
        <w:rPr>
          <w:lang w:val="en-US"/>
        </w:rPr>
        <w:t>, ,</w:t>
      </w:r>
      <w:proofErr w:type="gramEnd"/>
      <w:r>
        <w:rPr>
          <w:lang w:val="en-US"/>
        </w:rPr>
        <w:t xml:space="preserve">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FB6F1" w14:textId="77777777" w:rsidR="003E2014" w:rsidRDefault="003E2014">
      <w:r>
        <w:separator/>
      </w:r>
    </w:p>
  </w:endnote>
  <w:endnote w:type="continuationSeparator" w:id="0">
    <w:p w14:paraId="472581EC" w14:textId="77777777" w:rsidR="003E2014" w:rsidRDefault="003E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F9372" w14:textId="77777777" w:rsidR="003E2014" w:rsidRDefault="003E2014">
      <w:r>
        <w:separator/>
      </w:r>
    </w:p>
  </w:footnote>
  <w:footnote w:type="continuationSeparator" w:id="0">
    <w:p w14:paraId="5DFE607B" w14:textId="77777777" w:rsidR="003E2014" w:rsidRDefault="003E2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C6DF4"/>
    <w:multiLevelType w:val="hybridMultilevel"/>
    <w:tmpl w:val="103404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3"/>
  </w:num>
  <w:num w:numId="6">
    <w:abstractNumId w:val="3"/>
  </w:num>
  <w:num w:numId="7">
    <w:abstractNumId w:val="14"/>
  </w:num>
  <w:num w:numId="8">
    <w:abstractNumId w:val="28"/>
  </w:num>
  <w:num w:numId="9">
    <w:abstractNumId w:val="22"/>
  </w:num>
  <w:num w:numId="10">
    <w:abstractNumId w:val="13"/>
  </w:num>
  <w:num w:numId="11">
    <w:abstractNumId w:val="38"/>
  </w:num>
  <w:num w:numId="12">
    <w:abstractNumId w:val="37"/>
  </w:num>
  <w:num w:numId="13">
    <w:abstractNumId w:val="12"/>
  </w:num>
  <w:num w:numId="14">
    <w:abstractNumId w:val="20"/>
  </w:num>
  <w:num w:numId="15">
    <w:abstractNumId w:val="1"/>
  </w:num>
  <w:num w:numId="16">
    <w:abstractNumId w:val="11"/>
  </w:num>
  <w:num w:numId="17">
    <w:abstractNumId w:val="16"/>
  </w:num>
  <w:num w:numId="18">
    <w:abstractNumId w:val="27"/>
  </w:num>
  <w:num w:numId="19">
    <w:abstractNumId w:val="15"/>
  </w:num>
  <w:num w:numId="20">
    <w:abstractNumId w:val="21"/>
  </w:num>
  <w:num w:numId="21">
    <w:abstractNumId w:val="17"/>
  </w:num>
  <w:num w:numId="22">
    <w:abstractNumId w:val="2"/>
  </w:num>
  <w:num w:numId="23">
    <w:abstractNumId w:val="35"/>
  </w:num>
  <w:num w:numId="24">
    <w:abstractNumId w:val="32"/>
  </w:num>
  <w:num w:numId="25">
    <w:abstractNumId w:val="18"/>
  </w:num>
  <w:num w:numId="26">
    <w:abstractNumId w:val="29"/>
  </w:num>
  <w:num w:numId="27">
    <w:abstractNumId w:val="10"/>
  </w:num>
  <w:num w:numId="28">
    <w:abstractNumId w:val="34"/>
  </w:num>
  <w:num w:numId="29">
    <w:abstractNumId w:val="25"/>
  </w:num>
  <w:num w:numId="30">
    <w:abstractNumId w:val="8"/>
  </w:num>
  <w:num w:numId="31">
    <w:abstractNumId w:val="5"/>
  </w:num>
  <w:num w:numId="32">
    <w:abstractNumId w:val="36"/>
  </w:num>
  <w:num w:numId="33">
    <w:abstractNumId w:val="31"/>
  </w:num>
  <w:num w:numId="34">
    <w:abstractNumId w:val="30"/>
  </w:num>
  <w:num w:numId="35">
    <w:abstractNumId w:val="19"/>
  </w:num>
  <w:num w:numId="36">
    <w:abstractNumId w:val="23"/>
  </w:num>
  <w:num w:numId="37">
    <w:abstractNumId w:val="4"/>
  </w:num>
  <w:num w:numId="38">
    <w:abstractNumId w:val="9"/>
  </w:num>
  <w:num w:numId="3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D7774"/>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014"/>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EE6"/>
    <w:rsid w:val="00444F00"/>
    <w:rsid w:val="00445D09"/>
    <w:rsid w:val="00445D1B"/>
    <w:rsid w:val="00447BE1"/>
    <w:rsid w:val="004502EA"/>
    <w:rsid w:val="00450E43"/>
    <w:rsid w:val="00451EAB"/>
    <w:rsid w:val="004528A6"/>
    <w:rsid w:val="00452AF3"/>
    <w:rsid w:val="004539A7"/>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080D"/>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22C"/>
    <w:rsid w:val="005E4724"/>
    <w:rsid w:val="005E4C78"/>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9B6"/>
    <w:rsid w:val="009853B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4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3106"/>
    <w:rsid w:val="00B3311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A69"/>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13F7"/>
    <w:rsid w:val="00CE3C2C"/>
    <w:rsid w:val="00CE3F5C"/>
    <w:rsid w:val="00CE3F63"/>
    <w:rsid w:val="00CE4360"/>
    <w:rsid w:val="00CE4881"/>
    <w:rsid w:val="00CE4A0C"/>
    <w:rsid w:val="00CE5335"/>
    <w:rsid w:val="00CE60DE"/>
    <w:rsid w:val="00CE7B9B"/>
    <w:rsid w:val="00CF1B3B"/>
    <w:rsid w:val="00CF35F4"/>
    <w:rsid w:val="00CF3B23"/>
    <w:rsid w:val="00CF3EFD"/>
    <w:rsid w:val="00CF432B"/>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D3706756-6DBE-4276-AAB5-70C86A6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7.png"/><Relationship Id="rId27" Type="http://schemas.openxmlformats.org/officeDocument/2006/relationships/package" Target="embeddings/Microsoft_Visio_Drawing4.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7A9A4C9B-D3AD-4BA9-A2B1-A7267AE5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45</Pages>
  <Words>18193</Words>
  <Characters>103703</Characters>
  <Application>Microsoft Office Word</Application>
  <DocSecurity>0</DocSecurity>
  <Lines>864</Lines>
  <Paragraphs>243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
  <LinksUpToDate>false</LinksUpToDate>
  <CharactersWithSpaces>121653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Frank Frederiksen</cp:lastModifiedBy>
  <cp:revision>4</cp:revision>
  <cp:lastPrinted>2017-11-03T15:53:00Z</cp:lastPrinted>
  <dcterms:created xsi:type="dcterms:W3CDTF">2020-08-24T20:05:00Z</dcterms:created>
  <dcterms:modified xsi:type="dcterms:W3CDTF">2020-08-24T20:11:00Z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