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0"/>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af4"/>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af4"/>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af4"/>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af4"/>
              <w:numPr>
                <w:ilvl w:val="0"/>
                <w:numId w:val="3"/>
              </w:numPr>
            </w:pPr>
            <w:r>
              <w:t>Proposal 5: The Option-3 and Option-4 may not be suitable in PRACH enhancement.</w:t>
            </w:r>
          </w:p>
          <w:p w14:paraId="180A56BA" w14:textId="77777777" w:rsidR="00D05FCF" w:rsidRDefault="00D05FCF" w:rsidP="00594A63">
            <w:pPr>
              <w:pStyle w:val="af4"/>
              <w:numPr>
                <w:ilvl w:val="0"/>
                <w:numId w:val="3"/>
              </w:numPr>
            </w:pPr>
            <w:r>
              <w:t>Proposal 6: The Option-1 and Option-2 are suitable for PRACH enhancement.</w:t>
            </w:r>
          </w:p>
          <w:p w14:paraId="5FADDE02" w14:textId="77777777" w:rsidR="00D05FCF" w:rsidRDefault="00D05FCF" w:rsidP="00594A63">
            <w:pPr>
              <w:pStyle w:val="af4"/>
              <w:numPr>
                <w:ilvl w:val="0"/>
                <w:numId w:val="3"/>
              </w:numPr>
            </w:pPr>
            <w:r>
              <w:t>Proposal 7: The design of the roots pairs for Option-2 should be further investigated.</w:t>
            </w:r>
          </w:p>
          <w:p w14:paraId="2C2AD4A9" w14:textId="77777777" w:rsidR="00D05FCF" w:rsidRDefault="00D05FCF" w:rsidP="00594A63">
            <w:pPr>
              <w:pStyle w:val="af4"/>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4"/>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af4"/>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0"/>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af0"/>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af0"/>
        <w:rPr>
          <w:b/>
          <w:i/>
          <w:u w:val="single"/>
        </w:rPr>
      </w:pPr>
      <w:r w:rsidRPr="0018280A">
        <w:rPr>
          <w:b/>
          <w:i/>
          <w:u w:val="single"/>
        </w:rPr>
        <w:t xml:space="preserve">Initial proposal#2-1 (Moderator): </w:t>
      </w:r>
    </w:p>
    <w:p w14:paraId="1976667A" w14:textId="0E9A68D8" w:rsidR="005861EE" w:rsidRPr="00B018D9" w:rsidRDefault="005861EE" w:rsidP="005861EE">
      <w:pPr>
        <w:pStyle w:val="af0"/>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0"/>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af0"/>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6"/>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0"/>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0"/>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0"/>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af0"/>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af0"/>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af0"/>
              <w:spacing w:line="256" w:lineRule="auto"/>
              <w:rPr>
                <w:rFonts w:cs="Arial"/>
              </w:rPr>
            </w:pPr>
            <w:r>
              <w:rPr>
                <w:rFonts w:cs="Arial"/>
              </w:rPr>
              <w:t>SS</w:t>
            </w:r>
          </w:p>
        </w:tc>
        <w:tc>
          <w:tcPr>
            <w:tcW w:w="7834" w:type="dxa"/>
          </w:tcPr>
          <w:p w14:paraId="3479F247" w14:textId="19663C54" w:rsidR="00FE0768" w:rsidRDefault="001334D8" w:rsidP="00376D01">
            <w:pPr>
              <w:pStyle w:val="af0"/>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af0"/>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af0"/>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af0"/>
              <w:spacing w:line="256" w:lineRule="auto"/>
              <w:rPr>
                <w:rFonts w:cs="Arial"/>
              </w:rPr>
            </w:pPr>
            <w:r>
              <w:rPr>
                <w:rFonts w:cs="Arial"/>
              </w:rPr>
              <w:t>Intel</w:t>
            </w:r>
          </w:p>
        </w:tc>
        <w:tc>
          <w:tcPr>
            <w:tcW w:w="7834" w:type="dxa"/>
          </w:tcPr>
          <w:p w14:paraId="1605BE6A" w14:textId="39B2A647" w:rsidR="00C50BCE" w:rsidRDefault="00C50BCE" w:rsidP="00C50BCE">
            <w:pPr>
              <w:pStyle w:val="af0"/>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af0"/>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af0"/>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af0"/>
              <w:spacing w:line="256" w:lineRule="auto"/>
              <w:rPr>
                <w:rFonts w:cs="Arial"/>
              </w:rPr>
            </w:pPr>
            <w:r>
              <w:rPr>
                <w:rFonts w:eastAsia="맑은 고딕" w:cs="Arial"/>
                <w:lang w:eastAsia="ko-KR"/>
              </w:rPr>
              <w:t>LG</w:t>
            </w:r>
          </w:p>
        </w:tc>
        <w:tc>
          <w:tcPr>
            <w:tcW w:w="7834" w:type="dxa"/>
          </w:tcPr>
          <w:p w14:paraId="2E4CA433" w14:textId="29ABCDC2" w:rsidR="00487182" w:rsidRDefault="00487182" w:rsidP="00487182">
            <w:pPr>
              <w:pStyle w:val="af0"/>
              <w:spacing w:line="256" w:lineRule="auto"/>
              <w:rPr>
                <w:rFonts w:cs="Arial"/>
              </w:rPr>
            </w:pPr>
            <w:r>
              <w:rPr>
                <w:rFonts w:eastAsia="맑은 고딕" w:cs="Arial"/>
                <w:lang w:eastAsia="ko-KR"/>
              </w:rPr>
              <w:t>Support</w:t>
            </w: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0"/>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af4"/>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af4"/>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af4"/>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af4"/>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af4"/>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af4"/>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af4"/>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af4"/>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4"/>
              <w:numPr>
                <w:ilvl w:val="0"/>
                <w:numId w:val="3"/>
              </w:numPr>
            </w:pPr>
            <w:r>
              <w:t>Observation 3: A feeder link switch for a transparent satellite may result in a cell switch.</w:t>
            </w:r>
          </w:p>
          <w:p w14:paraId="18F2B6BF" w14:textId="77777777" w:rsidR="00D05FCF" w:rsidRDefault="00D05FCF" w:rsidP="00594A63">
            <w:pPr>
              <w:pStyle w:val="af4"/>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af4"/>
              <w:numPr>
                <w:ilvl w:val="0"/>
                <w:numId w:val="3"/>
              </w:numPr>
            </w:pPr>
            <w:r>
              <w:t>Observation 5: An NTN UE may be informed about imminent switch events including the resulting transmission gap.</w:t>
            </w:r>
          </w:p>
          <w:p w14:paraId="2EE3A216" w14:textId="77777777" w:rsidR="00D05FCF" w:rsidRDefault="00D05FCF" w:rsidP="00594A63">
            <w:pPr>
              <w:pStyle w:val="af4"/>
              <w:numPr>
                <w:ilvl w:val="0"/>
                <w:numId w:val="3"/>
              </w:numPr>
            </w:pPr>
            <w:r>
              <w:t>Proposal 3: RAN1 to define an assumption of the maximum tolerable gNB – NTN-GW delay.</w:t>
            </w:r>
          </w:p>
          <w:p w14:paraId="6DCDE022" w14:textId="77777777" w:rsidR="00D05FCF" w:rsidRDefault="00D05FCF" w:rsidP="00594A63">
            <w:pPr>
              <w:pStyle w:val="af4"/>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af4"/>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4"/>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4"/>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4"/>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4"/>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4"/>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4"/>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4"/>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af4"/>
              <w:numPr>
                <w:ilvl w:val="0"/>
                <w:numId w:val="4"/>
              </w:numPr>
            </w:pPr>
            <w:r>
              <w:lastRenderedPageBreak/>
              <w:t>Observation 4: Soft feeder link switch has less impact to current specification.</w:t>
            </w:r>
          </w:p>
          <w:p w14:paraId="31AFE626" w14:textId="77777777" w:rsidR="00D05FCF" w:rsidRDefault="00D05FCF" w:rsidP="00594A63">
            <w:pPr>
              <w:pStyle w:val="af4"/>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Default="0020270C" w:rsidP="00F37FD7">
      <w:pPr>
        <w:pStyle w:val="af4"/>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0"/>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af6"/>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0"/>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af0"/>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af0"/>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af0"/>
              <w:spacing w:line="256" w:lineRule="auto"/>
              <w:rPr>
                <w:rFonts w:cs="Arial"/>
              </w:rPr>
            </w:pPr>
            <w:r>
              <w:rPr>
                <w:rFonts w:cs="Arial"/>
              </w:rPr>
              <w:t>SS</w:t>
            </w:r>
          </w:p>
        </w:tc>
        <w:tc>
          <w:tcPr>
            <w:tcW w:w="7834" w:type="dxa"/>
          </w:tcPr>
          <w:p w14:paraId="6C3D677B" w14:textId="648A1A47" w:rsidR="00FE0768" w:rsidRPr="008337E6" w:rsidRDefault="001334D8" w:rsidP="00376D01">
            <w:pPr>
              <w:pStyle w:val="af0"/>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af0"/>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af0"/>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af0"/>
              <w:spacing w:line="256" w:lineRule="auto"/>
              <w:rPr>
                <w:rFonts w:cs="Arial"/>
              </w:rPr>
            </w:pPr>
            <w:r>
              <w:rPr>
                <w:rFonts w:cs="Arial"/>
              </w:rPr>
              <w:t>Intel</w:t>
            </w:r>
          </w:p>
        </w:tc>
        <w:tc>
          <w:tcPr>
            <w:tcW w:w="7834" w:type="dxa"/>
          </w:tcPr>
          <w:p w14:paraId="5FB529BC" w14:textId="44375889" w:rsidR="00C50BCE" w:rsidRDefault="00C50BCE" w:rsidP="00C50BCE">
            <w:pPr>
              <w:pStyle w:val="af0"/>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af0"/>
              <w:spacing w:line="256" w:lineRule="auto"/>
              <w:rPr>
                <w:rFonts w:cs="Arial"/>
              </w:rPr>
            </w:pPr>
            <w:r>
              <w:rPr>
                <w:rFonts w:cs="Arial"/>
              </w:rPr>
              <w:lastRenderedPageBreak/>
              <w:t>Ericsson</w:t>
            </w:r>
          </w:p>
        </w:tc>
        <w:tc>
          <w:tcPr>
            <w:tcW w:w="7834" w:type="dxa"/>
          </w:tcPr>
          <w:p w14:paraId="45B4BA33" w14:textId="1421B1A2" w:rsidR="00C50BCE" w:rsidRDefault="00112854" w:rsidP="00C50BCE">
            <w:pPr>
              <w:pStyle w:val="af0"/>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af0"/>
              <w:spacing w:line="256" w:lineRule="auto"/>
              <w:rPr>
                <w:rFonts w:cs="Arial"/>
              </w:rPr>
            </w:pPr>
            <w:r>
              <w:rPr>
                <w:rFonts w:eastAsia="맑은 고딕" w:cs="Arial"/>
                <w:lang w:eastAsia="ko-KR"/>
              </w:rPr>
              <w:t>LG</w:t>
            </w:r>
          </w:p>
        </w:tc>
        <w:tc>
          <w:tcPr>
            <w:tcW w:w="7834" w:type="dxa"/>
          </w:tcPr>
          <w:p w14:paraId="47D146DA" w14:textId="692F455A" w:rsidR="00487182" w:rsidRDefault="00487182" w:rsidP="00487182">
            <w:pPr>
              <w:pStyle w:val="af0"/>
              <w:spacing w:line="256" w:lineRule="auto"/>
              <w:rPr>
                <w:rFonts w:cs="Arial"/>
              </w:rPr>
            </w:pPr>
            <w:r>
              <w:rPr>
                <w:rFonts w:eastAsia="맑은 고딕" w:cs="Arial"/>
                <w:lang w:eastAsia="ko-KR"/>
              </w:rPr>
              <w:t>Support</w:t>
            </w:r>
          </w:p>
        </w:tc>
      </w:tr>
    </w:tbl>
    <w:p w14:paraId="3AC1C133" w14:textId="77777777" w:rsidR="005A366B" w:rsidRDefault="005A366B" w:rsidP="00201E04">
      <w:pPr>
        <w:pStyle w:val="af0"/>
        <w:rPr>
          <w:color w:val="000000" w:themeColor="text1"/>
          <w:lang w:eastAsia="ko-KR"/>
        </w:rPr>
      </w:pPr>
    </w:p>
    <w:p w14:paraId="7B69AAC1" w14:textId="52C9243F" w:rsidR="00003493" w:rsidRDefault="00003493" w:rsidP="00003493">
      <w:pPr>
        <w:pStyle w:val="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af0"/>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4"/>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4"/>
              <w:numPr>
                <w:ilvl w:val="0"/>
                <w:numId w:val="3"/>
              </w:numPr>
            </w:pPr>
            <w:r>
              <w:t>Observation 20</w:t>
            </w:r>
            <w:r>
              <w:tab/>
              <w:t>Circular polarization can be used to double the cell capacity</w:t>
            </w:r>
          </w:p>
          <w:p w14:paraId="082A7937" w14:textId="77777777" w:rsidR="00914881" w:rsidRDefault="00914881" w:rsidP="00376D01">
            <w:pPr>
              <w:pStyle w:val="af4"/>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4"/>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4"/>
              <w:numPr>
                <w:ilvl w:val="0"/>
                <w:numId w:val="3"/>
              </w:numPr>
            </w:pPr>
            <w:r>
              <w:t>Observation 23</w:t>
            </w:r>
            <w:r>
              <w:tab/>
              <w:t>The minimum size of NR beam is the satellite beam’s size</w:t>
            </w:r>
          </w:p>
          <w:p w14:paraId="42519FB9" w14:textId="77777777" w:rsidR="00914881" w:rsidRDefault="00914881" w:rsidP="00376D01">
            <w:pPr>
              <w:pStyle w:val="af4"/>
              <w:numPr>
                <w:ilvl w:val="0"/>
                <w:numId w:val="3"/>
              </w:numPr>
            </w:pPr>
            <w:r>
              <w:t>Observation 24</w:t>
            </w:r>
            <w:r>
              <w:tab/>
              <w:t>Beam management can be beneficial in case of multi-beam moving cell</w:t>
            </w:r>
          </w:p>
          <w:p w14:paraId="50695F09" w14:textId="77777777" w:rsidR="00914881" w:rsidRDefault="00914881" w:rsidP="00376D01">
            <w:pPr>
              <w:pStyle w:val="af4"/>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af4"/>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4"/>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af4"/>
              <w:numPr>
                <w:ilvl w:val="0"/>
                <w:numId w:val="3"/>
              </w:numPr>
            </w:pPr>
            <w:r>
              <w:t>Proposal 6</w:t>
            </w:r>
            <w:r>
              <w:tab/>
              <w:t>Focus on single-beam cell (option 1) as baseline without beam management</w:t>
            </w:r>
          </w:p>
          <w:p w14:paraId="15489228" w14:textId="77777777" w:rsidR="00914881" w:rsidRDefault="00914881" w:rsidP="00376D01">
            <w:pPr>
              <w:pStyle w:val="af4"/>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af4"/>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af4"/>
              <w:numPr>
                <w:ilvl w:val="0"/>
                <w:numId w:val="3"/>
              </w:numPr>
            </w:pPr>
            <w:r>
              <w:t>Proposal 9</w:t>
            </w:r>
            <w:r>
              <w:tab/>
              <w:t>Bandwidth part indicator field on DCI should be unchanged</w:t>
            </w:r>
          </w:p>
          <w:p w14:paraId="2E4511BE" w14:textId="77777777" w:rsidR="00914881" w:rsidRDefault="00914881" w:rsidP="00376D01">
            <w:pPr>
              <w:pStyle w:val="af4"/>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af4"/>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af4"/>
              <w:numPr>
                <w:ilvl w:val="0"/>
                <w:numId w:val="3"/>
              </w:numPr>
            </w:pPr>
            <w:r>
              <w:t>Observation 6: BWP based frequency reuse will negatively impact the supported system capacity.</w:t>
            </w:r>
          </w:p>
          <w:p w14:paraId="77E8B1F8" w14:textId="77777777" w:rsidR="00914881" w:rsidRDefault="00914881" w:rsidP="00376D01">
            <w:pPr>
              <w:pStyle w:val="af4"/>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4"/>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af4"/>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4"/>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af4"/>
              <w:numPr>
                <w:ilvl w:val="0"/>
                <w:numId w:val="3"/>
              </w:numPr>
            </w:pPr>
            <w:r>
              <w:t>Observation 9: In some cases, a UE cannot be expected to reliably detect the used DL polarization.</w:t>
            </w:r>
          </w:p>
          <w:p w14:paraId="3FD0BC97" w14:textId="77777777" w:rsidR="00914881" w:rsidRDefault="00914881" w:rsidP="00376D01">
            <w:pPr>
              <w:pStyle w:val="af4"/>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af4"/>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4"/>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4"/>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af4"/>
              <w:numPr>
                <w:ilvl w:val="0"/>
                <w:numId w:val="3"/>
              </w:numPr>
            </w:pPr>
            <w:r>
              <w:t xml:space="preserve">Proposal 1: Promoting the discussion on beam management with high priority.  </w:t>
            </w:r>
          </w:p>
          <w:p w14:paraId="549DC593" w14:textId="77777777" w:rsidR="00914881" w:rsidRDefault="00914881" w:rsidP="00376D01">
            <w:pPr>
              <w:pStyle w:val="af4"/>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4"/>
              <w:numPr>
                <w:ilvl w:val="0"/>
                <w:numId w:val="3"/>
              </w:numPr>
            </w:pPr>
            <w:r>
              <w:t>Proposal 3: Basic assumption on the UE capability w.r.t the polarization should be clarified.</w:t>
            </w:r>
          </w:p>
          <w:p w14:paraId="083F344C" w14:textId="77777777" w:rsidR="00914881" w:rsidRDefault="00914881" w:rsidP="00376D01">
            <w:pPr>
              <w:pStyle w:val="af4"/>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4"/>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4"/>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4"/>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af4"/>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af4"/>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af4"/>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af4"/>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af4"/>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4"/>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4"/>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4"/>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af4"/>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af4"/>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lastRenderedPageBreak/>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2pt" o:ole="">
            <v:imagedata r:id="rId13" o:title=""/>
          </v:shape>
          <o:OLEObject Type="Embed" ProgID="Visio.Drawing.15" ShapeID="_x0000_i1025" DrawAspect="Content" ObjectID="_1659817696" r:id="rId14"/>
        </w:object>
      </w:r>
      <w:r w:rsidR="007038E3">
        <w:t xml:space="preserve">   </w:t>
      </w:r>
      <w:r w:rsidR="007038E3">
        <w:rPr>
          <w:noProof/>
          <w:lang w:val="en-US" w:eastAsia="ko-K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4pt;height:138pt" o:ole="">
            <v:imagedata r:id="rId16" o:title=""/>
          </v:shape>
          <o:OLEObject Type="Embed" ProgID="Visio.Drawing.15" ShapeID="_x0000_i1026" DrawAspect="Content" ObjectID="_1659817697"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4"/>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4"/>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af4"/>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4"/>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4"/>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af4"/>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af4"/>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af4"/>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af4"/>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af4"/>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af0"/>
        <w:rPr>
          <w:u w:val="single"/>
        </w:rPr>
      </w:pPr>
      <w:r w:rsidRPr="00170FBF">
        <w:rPr>
          <w:u w:val="single"/>
        </w:rPr>
        <w:t>TCI State Indication:</w:t>
      </w:r>
    </w:p>
    <w:p w14:paraId="01659028" w14:textId="43D55DC5" w:rsidR="002D2546" w:rsidRDefault="002D2546" w:rsidP="00A80AA6">
      <w:pPr>
        <w:pStyle w:val="af0"/>
      </w:pPr>
      <w:r>
        <w:t>Ericsson proposed to discuss the fo</w:t>
      </w:r>
      <w:r w:rsidR="00D50E17">
        <w:t xml:space="preserve">llowing for beam management </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0"/>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af0"/>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0"/>
      </w:pPr>
    </w:p>
    <w:p w14:paraId="30EC7201" w14:textId="42B7B605" w:rsidR="00904443" w:rsidRPr="00170FBF" w:rsidRDefault="00170FBF" w:rsidP="002D2546">
      <w:pPr>
        <w:pStyle w:val="af0"/>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af0"/>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af0"/>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0"/>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af4"/>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4</w:t>
            </w:r>
            <w:r w:rsidRPr="00670EC9">
              <w:rPr>
                <w:rFonts w:eastAsia="맑은 고딕"/>
                <w:bCs/>
                <w:iCs/>
                <w:vertAlign w:val="superscript"/>
                <w:lang w:eastAsia="ko-KR"/>
              </w:rPr>
              <w:t>th</w:t>
            </w:r>
            <w:r>
              <w:rPr>
                <w:rFonts w:eastAsia="맑은 고딕"/>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맑은 고딕"/>
                <w:bCs/>
                <w:iCs/>
                <w:lang w:eastAsia="ko-KR"/>
              </w:rPr>
            </w:pPr>
            <w:r>
              <w:rPr>
                <w:rFonts w:eastAsia="맑은 고딕"/>
                <w:bCs/>
                <w:iCs/>
                <w:lang w:eastAsia="ko-KR"/>
              </w:rPr>
              <w:t>W.r.t 5</w:t>
            </w:r>
            <w:r w:rsidRPr="00670EC9">
              <w:rPr>
                <w:rFonts w:eastAsia="맑은 고딕"/>
                <w:bCs/>
                <w:iCs/>
                <w:vertAlign w:val="superscript"/>
                <w:lang w:eastAsia="ko-KR"/>
              </w:rPr>
              <w:t>th</w:t>
            </w:r>
            <w:r>
              <w:rPr>
                <w:rFonts w:eastAsia="맑은 고딕"/>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맑은 고딕"/>
                <w:bCs/>
                <w:iCs/>
                <w:lang w:eastAsia="ko-KR"/>
              </w:rPr>
            </w:pPr>
            <w:r>
              <w:rPr>
                <w:rFonts w:eastAsia="맑은 고딕"/>
                <w:bCs/>
                <w:iCs/>
                <w:lang w:eastAsia="ko-KR"/>
              </w:rPr>
              <w:t>W.r.t 6</w:t>
            </w:r>
            <w:r w:rsidRPr="00670EC9">
              <w:rPr>
                <w:rFonts w:eastAsia="맑은 고딕"/>
                <w:bCs/>
                <w:iCs/>
                <w:vertAlign w:val="superscript"/>
                <w:lang w:eastAsia="ko-KR"/>
              </w:rPr>
              <w:t>th</w:t>
            </w:r>
            <w:r>
              <w:rPr>
                <w:rFonts w:eastAsia="맑은 고딕"/>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맑은 고딕"/>
                <w:bCs/>
                <w:iCs/>
                <w:lang w:eastAsia="ko-KR"/>
              </w:rPr>
            </w:pPr>
            <w:r>
              <w:rPr>
                <w:rFonts w:eastAsia="맑은 고딕"/>
                <w:bCs/>
                <w:iCs/>
                <w:lang w:eastAsia="ko-KR"/>
              </w:rPr>
              <w:t>W.r.t 7</w:t>
            </w:r>
            <w:r w:rsidRPr="00EB168C">
              <w:rPr>
                <w:rFonts w:eastAsia="맑은 고딕"/>
                <w:bCs/>
                <w:iCs/>
                <w:vertAlign w:val="superscript"/>
                <w:lang w:eastAsia="ko-KR"/>
              </w:rPr>
              <w:t>th</w:t>
            </w:r>
            <w:r>
              <w:rPr>
                <w:rFonts w:eastAsia="맑은 고딕"/>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맑은 고딕"/>
                <w:bCs/>
                <w:iCs/>
                <w:lang w:eastAsia="ko-KR"/>
              </w:rPr>
            </w:pPr>
            <w:r>
              <w:rPr>
                <w:rFonts w:eastAsia="맑은 고딕"/>
                <w:bCs/>
                <w:iCs/>
                <w:lang w:eastAsia="ko-KR"/>
              </w:rPr>
              <w:t>W.r.t 1</w:t>
            </w:r>
            <w:r w:rsidRPr="00EB168C">
              <w:rPr>
                <w:rFonts w:eastAsia="맑은 고딕"/>
                <w:bCs/>
                <w:iCs/>
                <w:vertAlign w:val="superscript"/>
                <w:lang w:eastAsia="ko-KR"/>
              </w:rPr>
              <w:t>st</w:t>
            </w:r>
            <w:r>
              <w:rPr>
                <w:rFonts w:eastAsia="맑은 고딕"/>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2</w:t>
            </w:r>
            <w:r w:rsidRPr="00EB168C">
              <w:rPr>
                <w:rFonts w:eastAsia="맑은 고딕"/>
                <w:bCs/>
                <w:iCs/>
                <w:vertAlign w:val="superscript"/>
                <w:lang w:eastAsia="ko-KR"/>
              </w:rPr>
              <w:t>nd</w:t>
            </w:r>
            <w:r>
              <w:rPr>
                <w:rFonts w:eastAsia="맑은 고딕"/>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맑은 고딕"/>
                <w:bCs/>
                <w:iCs/>
                <w:lang w:eastAsia="ko-KR"/>
              </w:rPr>
            </w:pPr>
            <w:r>
              <w:rPr>
                <w:rFonts w:eastAsia="맑은 고딕" w:hint="eastAsia"/>
                <w:bCs/>
                <w:iCs/>
                <w:lang w:eastAsia="ko-KR"/>
              </w:rPr>
              <w:lastRenderedPageBreak/>
              <w:t>W</w:t>
            </w:r>
            <w:r>
              <w:rPr>
                <w:rFonts w:eastAsia="맑은 고딕"/>
                <w:bCs/>
                <w:iCs/>
                <w:lang w:eastAsia="ko-KR"/>
              </w:rPr>
              <w:t>.r.t 3</w:t>
            </w:r>
            <w:r w:rsidRPr="0038485A">
              <w:rPr>
                <w:rFonts w:eastAsia="맑은 고딕"/>
                <w:bCs/>
                <w:iCs/>
                <w:vertAlign w:val="superscript"/>
                <w:lang w:eastAsia="ko-KR"/>
              </w:rPr>
              <w:t>rd</w:t>
            </w:r>
            <w:r>
              <w:rPr>
                <w:rFonts w:eastAsia="맑은 고딕"/>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4</w:t>
            </w:r>
            <w:r w:rsidRPr="00EB168C">
              <w:rPr>
                <w:rFonts w:eastAsia="맑은 고딕"/>
                <w:bCs/>
                <w:iCs/>
                <w:vertAlign w:val="superscript"/>
                <w:lang w:eastAsia="ko-KR"/>
              </w:rPr>
              <w:t>th</w:t>
            </w:r>
            <w:r>
              <w:rPr>
                <w:rFonts w:eastAsia="맑은 고딕"/>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4"/>
              <w:numPr>
                <w:ilvl w:val="0"/>
                <w:numId w:val="33"/>
              </w:numPr>
              <w:autoSpaceDE w:val="0"/>
              <w:autoSpaceDN w:val="0"/>
              <w:adjustRightInd w:val="0"/>
              <w:snapToGrid w:val="0"/>
            </w:pPr>
            <w:r w:rsidRPr="006C123A">
              <w:t>SSB arrangements</w:t>
            </w:r>
          </w:p>
          <w:p w14:paraId="0DF5E7A5" w14:textId="77777777" w:rsidR="00170FBF" w:rsidRDefault="00170FBF" w:rsidP="00376D01">
            <w:pPr>
              <w:pStyle w:val="af4"/>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4"/>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4"/>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4"/>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4"/>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8pt;height:263.4pt" o:ole="">
                  <v:imagedata r:id="rId18" o:title=""/>
                </v:shape>
                <o:OLEObject Type="Embed" ProgID="Visio.Drawing.15" ShapeID="_x0000_i1027" DrawAspect="Content" ObjectID="_1659817698"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맑은 고딕"/>
                <w:lang w:eastAsia="ko-KR"/>
              </w:rPr>
            </w:pPr>
            <w:r w:rsidRPr="00143DC1">
              <w:rPr>
                <w:rFonts w:eastAsia="맑은 고딕" w:hint="eastAsia"/>
                <w:lang w:eastAsia="ko-KR"/>
              </w:rPr>
              <w:lastRenderedPageBreak/>
              <w:t>F</w:t>
            </w:r>
            <w:r w:rsidRPr="00143DC1">
              <w:rPr>
                <w:rFonts w:eastAsia="맑은 고딕"/>
                <w:lang w:eastAsia="ko-KR"/>
              </w:rPr>
              <w:t xml:space="preserve">or proposal #4-2: support </w:t>
            </w:r>
          </w:p>
          <w:p w14:paraId="5A7CF289" w14:textId="77777777" w:rsidR="00170FBF" w:rsidRPr="00143DC1" w:rsidRDefault="00170FBF" w:rsidP="00376D01">
            <w:pPr>
              <w:pStyle w:val="af0"/>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0"/>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af0"/>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0"/>
      </w:pPr>
      <w:r>
        <w:rPr>
          <w:noProof/>
          <w:lang w:val="en-US" w:eastAsia="ko-K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ko-K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66081B4D" w:rsidR="004F06AD" w:rsidRDefault="004F06AD" w:rsidP="004F06AD">
      <w:pPr>
        <w:pStyle w:val="af0"/>
      </w:pPr>
      <w:r>
        <w:t>Qualcomm propose</w:t>
      </w:r>
      <w:r w:rsidR="00CE4A0C">
        <w:t>d to consider the following</w:t>
      </w:r>
      <w:r>
        <w:t>:</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4D9840FA" w:rsidR="00DD0312" w:rsidRDefault="00DD0312" w:rsidP="00DD0312">
      <w:pPr>
        <w:pStyle w:val="af0"/>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맑은 고딕"/>
                <w:bCs/>
                <w:iCs/>
                <w:lang w:eastAsia="ko-KR"/>
              </w:rPr>
              <w:t>W</w:t>
            </w:r>
            <w:r>
              <w:rPr>
                <w:rFonts w:eastAsia="맑은 고딕" w:hint="eastAsia"/>
                <w:bCs/>
                <w:iCs/>
                <w:lang w:eastAsia="ko-KR"/>
              </w:rPr>
              <w:t xml:space="preserve">e </w:t>
            </w:r>
            <w:r>
              <w:rPr>
                <w:rFonts w:eastAsia="맑은 고딕"/>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맑은 고딕"/>
                <w:bCs/>
                <w:iCs/>
                <w:lang w:eastAsia="ko-KR"/>
              </w:rPr>
              <w:t>Open to discuss but too early to agree on any issue.</w:t>
            </w:r>
          </w:p>
        </w:tc>
      </w:tr>
    </w:tbl>
    <w:p w14:paraId="2974F92B" w14:textId="77777777" w:rsidR="00F12FB8" w:rsidRDefault="00F12FB8" w:rsidP="004F06AD">
      <w:pPr>
        <w:pStyle w:val="af0"/>
      </w:pPr>
    </w:p>
    <w:p w14:paraId="55F4C8A9" w14:textId="1F3CE418" w:rsidR="009A7B3C" w:rsidRDefault="009A7B3C" w:rsidP="00D50E17">
      <w:pPr>
        <w:pStyle w:val="3"/>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af0"/>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0"/>
      </w:pPr>
      <w:r>
        <w:t xml:space="preserve">Several companies discussed signalling mechanisms for polarisation: </w:t>
      </w:r>
    </w:p>
    <w:p w14:paraId="37A324F8" w14:textId="558EB696"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af0"/>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af0"/>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0"/>
      </w:pPr>
      <w:r>
        <w:rPr>
          <w:noProof/>
          <w:lang w:val="en-US" w:eastAsia="ko-K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ko-K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맑은 고딕" w:hint="eastAsia"/>
                <w:bCs/>
                <w:iCs/>
                <w:lang w:eastAsia="ko-KR"/>
              </w:rPr>
              <w:t>W</w:t>
            </w:r>
            <w:r>
              <w:rPr>
                <w:rFonts w:eastAsia="맑은 고딕"/>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맑은 고딕"/>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0"/>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af4"/>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6"/>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0"/>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0"/>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af0"/>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af0"/>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0"/>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af0"/>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af0"/>
              <w:spacing w:line="256" w:lineRule="auto"/>
              <w:rPr>
                <w:rFonts w:cs="Arial"/>
              </w:rPr>
            </w:pPr>
            <w:r>
              <w:rPr>
                <w:rFonts w:cs="Arial"/>
              </w:rPr>
              <w:t>SS</w:t>
            </w:r>
          </w:p>
        </w:tc>
        <w:tc>
          <w:tcPr>
            <w:tcW w:w="7834" w:type="dxa"/>
          </w:tcPr>
          <w:p w14:paraId="10156BA0" w14:textId="3063446E" w:rsidR="00FE0768" w:rsidRDefault="001334D8" w:rsidP="00376D01">
            <w:pPr>
              <w:pStyle w:val="af0"/>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af0"/>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af0"/>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af0"/>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af0"/>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af0"/>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af0"/>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af0"/>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af0"/>
              <w:spacing w:line="256" w:lineRule="auto"/>
              <w:rPr>
                <w:rFonts w:cs="Arial"/>
              </w:rPr>
            </w:pPr>
            <w:r>
              <w:rPr>
                <w:rFonts w:cs="Arial"/>
              </w:rPr>
              <w:t>Intel</w:t>
            </w:r>
          </w:p>
        </w:tc>
        <w:tc>
          <w:tcPr>
            <w:tcW w:w="7834" w:type="dxa"/>
          </w:tcPr>
          <w:p w14:paraId="76868FEF" w14:textId="0C4E9540" w:rsidR="00C50BCE" w:rsidRDefault="00C50BCE" w:rsidP="00C50BCE">
            <w:pPr>
              <w:pStyle w:val="af0"/>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af0"/>
              <w:spacing w:line="256" w:lineRule="auto"/>
              <w:rPr>
                <w:rFonts w:cs="Arial"/>
              </w:rPr>
            </w:pPr>
            <w:r>
              <w:rPr>
                <w:rFonts w:cs="Arial"/>
              </w:rPr>
              <w:t>Ericsson</w:t>
            </w:r>
          </w:p>
        </w:tc>
        <w:tc>
          <w:tcPr>
            <w:tcW w:w="7834" w:type="dxa"/>
          </w:tcPr>
          <w:p w14:paraId="1C06A034" w14:textId="0BCFFCE5" w:rsidR="00C50BCE" w:rsidRDefault="00454970" w:rsidP="00C50BCE">
            <w:pPr>
              <w:pStyle w:val="af0"/>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af0"/>
              <w:spacing w:line="256" w:lineRule="auto"/>
              <w:rPr>
                <w:rFonts w:cs="Arial"/>
              </w:rPr>
            </w:pPr>
            <w:r>
              <w:rPr>
                <w:rFonts w:eastAsia="맑은 고딕" w:cs="Arial"/>
                <w:lang w:eastAsia="ko-KR"/>
              </w:rPr>
              <w:t>LG</w:t>
            </w:r>
          </w:p>
        </w:tc>
        <w:tc>
          <w:tcPr>
            <w:tcW w:w="7834" w:type="dxa"/>
          </w:tcPr>
          <w:p w14:paraId="3E63D6F4" w14:textId="478E8A92" w:rsidR="00487182" w:rsidRDefault="00487182" w:rsidP="00487182">
            <w:pPr>
              <w:pStyle w:val="af0"/>
              <w:spacing w:line="256" w:lineRule="auto"/>
              <w:rPr>
                <w:rFonts w:cs="Arial"/>
              </w:rPr>
            </w:pPr>
            <w:r>
              <w:rPr>
                <w:rFonts w:eastAsia="맑은 고딕" w:cs="Arial"/>
                <w:lang w:eastAsia="ko-KR"/>
              </w:rPr>
              <w:t xml:space="preserve">Agree with Panasonic </w:t>
            </w:r>
            <w:r>
              <w:rPr>
                <w:rFonts w:eastAsia="맑은 고딕" w:cs="Arial" w:hint="eastAsia"/>
                <w:lang w:eastAsia="ko-KR"/>
              </w:rPr>
              <w:t>in principle</w:t>
            </w:r>
            <w:r>
              <w:rPr>
                <w:rFonts w:eastAsia="맑은 고딕" w:cs="Arial"/>
                <w:lang w:eastAsia="ko-KR"/>
              </w:rPr>
              <w:t xml:space="preserve">. We agree with medication from Ericsson for main bullet.  </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lastRenderedPageBreak/>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6"/>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0"/>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af0"/>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af0"/>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af0"/>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af0"/>
              <w:spacing w:line="256" w:lineRule="auto"/>
              <w:rPr>
                <w:rFonts w:cs="Arial"/>
              </w:rPr>
            </w:pPr>
            <w:r>
              <w:rPr>
                <w:rFonts w:cs="Arial"/>
              </w:rPr>
              <w:t>SS</w:t>
            </w:r>
          </w:p>
        </w:tc>
        <w:tc>
          <w:tcPr>
            <w:tcW w:w="7834" w:type="dxa"/>
          </w:tcPr>
          <w:p w14:paraId="72DBF5A3" w14:textId="3E0C904C" w:rsidR="00FE0768" w:rsidRDefault="001334D8" w:rsidP="00376D01">
            <w:pPr>
              <w:pStyle w:val="af0"/>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af0"/>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af0"/>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af0"/>
              <w:spacing w:line="256" w:lineRule="auto"/>
              <w:rPr>
                <w:rFonts w:cs="Arial"/>
              </w:rPr>
            </w:pPr>
            <w:r>
              <w:rPr>
                <w:rFonts w:cs="Arial"/>
              </w:rPr>
              <w:t>Intel</w:t>
            </w:r>
          </w:p>
        </w:tc>
        <w:tc>
          <w:tcPr>
            <w:tcW w:w="7834" w:type="dxa"/>
          </w:tcPr>
          <w:p w14:paraId="3CE8046B" w14:textId="2B49DDD5" w:rsidR="00282533" w:rsidRDefault="00282533" w:rsidP="00282533">
            <w:pPr>
              <w:pStyle w:val="af0"/>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af0"/>
              <w:spacing w:line="256" w:lineRule="auto"/>
              <w:rPr>
                <w:rFonts w:cs="Arial"/>
              </w:rPr>
            </w:pPr>
            <w:r>
              <w:rPr>
                <w:rFonts w:cs="Arial"/>
              </w:rPr>
              <w:t>Ericsson</w:t>
            </w:r>
          </w:p>
        </w:tc>
        <w:tc>
          <w:tcPr>
            <w:tcW w:w="7834" w:type="dxa"/>
          </w:tcPr>
          <w:p w14:paraId="2D3B5836" w14:textId="7C1275A0" w:rsidR="00282533" w:rsidRDefault="00F64F43" w:rsidP="00282533">
            <w:pPr>
              <w:pStyle w:val="af0"/>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af0"/>
              <w:spacing w:line="256" w:lineRule="auto"/>
              <w:rPr>
                <w:rFonts w:cs="Arial"/>
              </w:rPr>
            </w:pPr>
            <w:r>
              <w:rPr>
                <w:rFonts w:eastAsia="맑은 고딕" w:cs="Arial"/>
                <w:lang w:eastAsia="ko-KR"/>
              </w:rPr>
              <w:t>LG</w:t>
            </w:r>
          </w:p>
        </w:tc>
        <w:tc>
          <w:tcPr>
            <w:tcW w:w="7834" w:type="dxa"/>
          </w:tcPr>
          <w:p w14:paraId="26D1C069" w14:textId="0ECF648A" w:rsidR="00487182" w:rsidRDefault="00487182" w:rsidP="00487182">
            <w:pPr>
              <w:pStyle w:val="af0"/>
              <w:spacing w:line="256" w:lineRule="auto"/>
              <w:rPr>
                <w:rFonts w:cs="Arial"/>
              </w:rPr>
            </w:pPr>
            <w:r>
              <w:rPr>
                <w:rFonts w:eastAsia="맑은 고딕" w:cs="Arial"/>
                <w:lang w:eastAsia="ko-KR"/>
              </w:rPr>
              <w:t>Agree with FL’s assessment that this issue can be discussed after resolving issue 4.4.1.</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0"/>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0"/>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0"/>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af0"/>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0"/>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0"/>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0"/>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6"/>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0"/>
              <w:spacing w:line="256" w:lineRule="auto"/>
              <w:rPr>
                <w:rFonts w:cs="Arial"/>
              </w:rPr>
            </w:pPr>
            <w:r>
              <w:rPr>
                <w:rFonts w:cs="Arial"/>
              </w:rPr>
              <w:lastRenderedPageBreak/>
              <w:t>Company</w:t>
            </w:r>
          </w:p>
        </w:tc>
        <w:tc>
          <w:tcPr>
            <w:tcW w:w="7834" w:type="dxa"/>
            <w:shd w:val="clear" w:color="auto" w:fill="F79646" w:themeFill="accent6"/>
          </w:tcPr>
          <w:p w14:paraId="46585F67" w14:textId="77777777" w:rsidR="00FE0768" w:rsidRDefault="00FE0768" w:rsidP="00376D01">
            <w:pPr>
              <w:pStyle w:val="af0"/>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af0"/>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af0"/>
              <w:spacing w:line="256" w:lineRule="auto"/>
              <w:rPr>
                <w:rFonts w:cs="Arial"/>
              </w:rPr>
            </w:pPr>
            <w:r>
              <w:rPr>
                <w:rFonts w:cs="Arial"/>
              </w:rPr>
              <w:t>SS</w:t>
            </w:r>
          </w:p>
        </w:tc>
        <w:tc>
          <w:tcPr>
            <w:tcW w:w="7834" w:type="dxa"/>
          </w:tcPr>
          <w:p w14:paraId="7BB6D478" w14:textId="77777777" w:rsidR="00FE0768" w:rsidRDefault="001334D8" w:rsidP="00376D01">
            <w:pPr>
              <w:pStyle w:val="af0"/>
              <w:spacing w:line="256" w:lineRule="auto"/>
              <w:rPr>
                <w:rFonts w:cs="Arial"/>
              </w:rPr>
            </w:pPr>
            <w:r>
              <w:rPr>
                <w:rFonts w:cs="Arial"/>
              </w:rPr>
              <w:t>Propose to change the wording as below.</w:t>
            </w:r>
          </w:p>
          <w:p w14:paraId="45B24D28" w14:textId="1009FD97" w:rsidR="001334D8" w:rsidRDefault="001334D8" w:rsidP="001334D8">
            <w:pPr>
              <w:pStyle w:val="af0"/>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af0"/>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af0"/>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af0"/>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af0"/>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af0"/>
              <w:spacing w:line="256" w:lineRule="auto"/>
              <w:rPr>
                <w:rFonts w:cs="Arial"/>
              </w:rPr>
            </w:pPr>
            <w:r w:rsidRPr="0004491C">
              <w:rPr>
                <w:rFonts w:cs="Arial"/>
              </w:rPr>
              <w:t xml:space="preserve">Support proposal#4-3.  </w:t>
            </w:r>
          </w:p>
          <w:p w14:paraId="7C91F7F5" w14:textId="37D0BBE9" w:rsidR="00BE0022" w:rsidRDefault="0004491C" w:rsidP="0004491C">
            <w:pPr>
              <w:pStyle w:val="af0"/>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af0"/>
              <w:spacing w:line="256" w:lineRule="auto"/>
              <w:rPr>
                <w:rFonts w:cs="Arial"/>
              </w:rPr>
            </w:pPr>
            <w:r>
              <w:rPr>
                <w:rFonts w:cs="Arial"/>
              </w:rPr>
              <w:t>Intel</w:t>
            </w:r>
          </w:p>
        </w:tc>
        <w:tc>
          <w:tcPr>
            <w:tcW w:w="7834" w:type="dxa"/>
          </w:tcPr>
          <w:p w14:paraId="6B34712C" w14:textId="3FC4D91F" w:rsidR="00282533" w:rsidRDefault="00282533" w:rsidP="00282533">
            <w:pPr>
              <w:pStyle w:val="af0"/>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af0"/>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af0"/>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af0"/>
              <w:spacing w:line="256" w:lineRule="auto"/>
              <w:rPr>
                <w:rFonts w:cs="Arial"/>
              </w:rPr>
            </w:pPr>
            <w:r>
              <w:rPr>
                <w:rFonts w:eastAsia="맑은 고딕" w:cs="Arial"/>
                <w:lang w:eastAsia="ko-KR"/>
              </w:rPr>
              <w:t>LG</w:t>
            </w:r>
          </w:p>
        </w:tc>
        <w:tc>
          <w:tcPr>
            <w:tcW w:w="7834" w:type="dxa"/>
          </w:tcPr>
          <w:p w14:paraId="1E8C0C4F" w14:textId="228C0EBC" w:rsidR="00487182" w:rsidRDefault="00487182" w:rsidP="00487182">
            <w:pPr>
              <w:pStyle w:val="af0"/>
              <w:spacing w:line="256" w:lineRule="auto"/>
              <w:rPr>
                <w:rFonts w:cs="Arial"/>
              </w:rPr>
            </w:pPr>
            <w:r>
              <w:rPr>
                <w:rFonts w:eastAsia="맑은 고딕" w:cs="Arial"/>
                <w:lang w:eastAsia="ko-KR"/>
              </w:rPr>
              <w:t>Support</w:t>
            </w: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t>
      </w:r>
      <w:r w:rsidRPr="0019171D">
        <w:rPr>
          <w:bCs/>
          <w:iCs/>
        </w:rPr>
        <w:lastRenderedPageBreak/>
        <w:t>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8" type="#_x0000_t75" style="width:147pt;height:94.2pt" o:ole="">
            <v:imagedata r:id="rId24" o:title=""/>
          </v:shape>
          <o:OLEObject Type="Embed" ProgID="Visio.Drawing.15" ShapeID="_x0000_i1028" DrawAspect="Content" ObjectID="_1659817699" r:id="rId25"/>
        </w:object>
      </w:r>
      <w:r>
        <w:object w:dxaOrig="13621" w:dyaOrig="3205" w14:anchorId="3C221396">
          <v:shape id="_x0000_i1029" type="#_x0000_t75" style="width:333.6pt;height:79.2pt" o:ole="">
            <v:imagedata r:id="rId26" o:title=""/>
          </v:shape>
          <o:OLEObject Type="Embed" ProgID="Visio.Drawing.15" ShapeID="_x0000_i1029" DrawAspect="Content" ObjectID="_1659817700" r:id="rId27"/>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186CB8C2" w14:textId="1DF8BC00" w:rsidR="009A4A21" w:rsidRDefault="009A4A21" w:rsidP="009A4A21">
      <w:pPr>
        <w:pStyle w:val="2"/>
        <w:rPr>
          <w:lang w:eastAsia="ko-KR"/>
        </w:rPr>
      </w:pPr>
      <w:r>
        <w:rPr>
          <w:lang w:eastAsia="ko-KR"/>
        </w:rPr>
        <w:lastRenderedPageBreak/>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0"/>
        <w:rPr>
          <w:lang w:eastAsia="ko-KR"/>
        </w:rPr>
      </w:pPr>
      <w:r>
        <w:rPr>
          <w:lang w:eastAsia="ko-KR"/>
        </w:rPr>
        <w:t>CMCC, ZTE, MediaTek proposed to move ATG discussions to AI 8.4.1, 8.4.2, 8.4.3</w:t>
      </w:r>
    </w:p>
    <w:p w14:paraId="4E87ABED" w14:textId="517A2D43" w:rsidR="009A4A21" w:rsidRDefault="009A4A21" w:rsidP="000E2E4B">
      <w:pPr>
        <w:pStyle w:val="af0"/>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af0"/>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af0"/>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lastRenderedPageBreak/>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af6"/>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0"/>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af0"/>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af0"/>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af0"/>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af0"/>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af0"/>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af0"/>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af0"/>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af0"/>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af0"/>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af0"/>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af0"/>
              <w:spacing w:line="256" w:lineRule="auto"/>
              <w:rPr>
                <w:rFonts w:cs="Arial"/>
              </w:rPr>
            </w:pPr>
            <w:r>
              <w:rPr>
                <w:rFonts w:cs="Arial"/>
              </w:rPr>
              <w:t>Intel</w:t>
            </w:r>
          </w:p>
        </w:tc>
        <w:tc>
          <w:tcPr>
            <w:tcW w:w="7834" w:type="dxa"/>
          </w:tcPr>
          <w:p w14:paraId="204B66CA" w14:textId="1944635F" w:rsidR="005E422C" w:rsidRDefault="005E422C" w:rsidP="005E422C">
            <w:pPr>
              <w:pStyle w:val="af0"/>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77777777" w:rsidR="005E422C" w:rsidRDefault="005E422C" w:rsidP="005E422C">
            <w:pPr>
              <w:pStyle w:val="af0"/>
              <w:spacing w:line="256" w:lineRule="auto"/>
              <w:rPr>
                <w:rFonts w:cs="Arial"/>
              </w:rPr>
            </w:pPr>
          </w:p>
        </w:tc>
        <w:tc>
          <w:tcPr>
            <w:tcW w:w="7834" w:type="dxa"/>
          </w:tcPr>
          <w:p w14:paraId="323C8FEA" w14:textId="77777777" w:rsidR="005E422C" w:rsidRDefault="005E422C" w:rsidP="005E422C">
            <w:pPr>
              <w:pStyle w:val="af0"/>
              <w:spacing w:line="256" w:lineRule="auto"/>
              <w:rPr>
                <w:rFonts w:cs="Arial"/>
              </w:rPr>
            </w:pPr>
          </w:p>
        </w:tc>
      </w:tr>
      <w:tr w:rsidR="005E422C" w14:paraId="3E39D81A" w14:textId="77777777" w:rsidTr="00376D01">
        <w:tc>
          <w:tcPr>
            <w:tcW w:w="1795" w:type="dxa"/>
          </w:tcPr>
          <w:p w14:paraId="70652005" w14:textId="77777777" w:rsidR="005E422C" w:rsidRDefault="005E422C" w:rsidP="005E422C">
            <w:pPr>
              <w:pStyle w:val="af0"/>
              <w:spacing w:line="256" w:lineRule="auto"/>
              <w:rPr>
                <w:rFonts w:cs="Arial"/>
              </w:rPr>
            </w:pPr>
          </w:p>
        </w:tc>
        <w:tc>
          <w:tcPr>
            <w:tcW w:w="7834" w:type="dxa"/>
          </w:tcPr>
          <w:p w14:paraId="728A49B0" w14:textId="77777777" w:rsidR="005E422C" w:rsidRDefault="005E422C" w:rsidP="005E422C">
            <w:pPr>
              <w:pStyle w:val="af0"/>
              <w:spacing w:line="256" w:lineRule="auto"/>
              <w:rPr>
                <w:rFonts w:cs="Arial"/>
              </w:rPr>
            </w:pPr>
          </w:p>
        </w:tc>
      </w:tr>
      <w:tr w:rsidR="005E422C" w14:paraId="0566BBEB" w14:textId="77777777" w:rsidTr="00376D01">
        <w:tc>
          <w:tcPr>
            <w:tcW w:w="1795" w:type="dxa"/>
          </w:tcPr>
          <w:p w14:paraId="4C243E54" w14:textId="77777777" w:rsidR="005E422C" w:rsidRDefault="005E422C" w:rsidP="005E422C">
            <w:pPr>
              <w:pStyle w:val="af0"/>
              <w:spacing w:line="256" w:lineRule="auto"/>
              <w:rPr>
                <w:rFonts w:cs="Arial"/>
              </w:rPr>
            </w:pPr>
          </w:p>
        </w:tc>
        <w:tc>
          <w:tcPr>
            <w:tcW w:w="7834" w:type="dxa"/>
          </w:tcPr>
          <w:p w14:paraId="2577F109" w14:textId="77777777" w:rsidR="005E422C" w:rsidRDefault="005E422C" w:rsidP="005E422C">
            <w:pPr>
              <w:pStyle w:val="af0"/>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af0"/>
              <w:spacing w:line="256" w:lineRule="auto"/>
              <w:rPr>
                <w:rFonts w:cs="Arial"/>
              </w:rPr>
            </w:pPr>
          </w:p>
        </w:tc>
        <w:tc>
          <w:tcPr>
            <w:tcW w:w="7834" w:type="dxa"/>
          </w:tcPr>
          <w:p w14:paraId="30D2E4FB" w14:textId="77777777" w:rsidR="005E422C" w:rsidRDefault="005E422C" w:rsidP="005E422C">
            <w:pPr>
              <w:pStyle w:val="af0"/>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bookmarkStart w:id="4" w:name="_GoBack"/>
      <w:bookmarkEnd w:id="4"/>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lastRenderedPageBreak/>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4"/>
              <w:numPr>
                <w:ilvl w:val="0"/>
                <w:numId w:val="3"/>
              </w:numPr>
              <w:autoSpaceDE w:val="0"/>
              <w:autoSpaceDN w:val="0"/>
              <w:adjustRightInd w:val="0"/>
              <w:snapToGrid w:val="0"/>
              <w:spacing w:after="0"/>
            </w:pPr>
            <w:r>
              <w:t>Proposal 1</w:t>
            </w:r>
            <w:r>
              <w:tab/>
              <w:t xml:space="preserve">Although having multiple beams per cell and using beam management can mitigate the higher HO Rate on Earth-moving cell. This approach should not be considered </w:t>
            </w:r>
            <w:r>
              <w:lastRenderedPageBreak/>
              <w:t>as baseline. Indeed, there will be always an air interface capacity limit to the number of beams per cell, particularly in S-Band</w:t>
            </w:r>
          </w:p>
          <w:p w14:paraId="6D3429DD" w14:textId="77777777" w:rsidR="00EA24E0" w:rsidRDefault="00EA24E0" w:rsidP="00594A63">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af4"/>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4"/>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af4"/>
              <w:numPr>
                <w:ilvl w:val="0"/>
                <w:numId w:val="3"/>
              </w:numPr>
            </w:pPr>
            <w:r>
              <w:t>Observation 2: The gNB location relative to the NTN-GW may impact the NTN user experience.</w:t>
            </w:r>
          </w:p>
          <w:p w14:paraId="6E0BDC5D" w14:textId="77777777" w:rsidR="00EA24E0" w:rsidRDefault="00EA24E0" w:rsidP="00594A63">
            <w:pPr>
              <w:pStyle w:val="af4"/>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af4"/>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4"/>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af4"/>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4"/>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af4"/>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4"/>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4"/>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af4"/>
              <w:numPr>
                <w:ilvl w:val="0"/>
                <w:numId w:val="3"/>
              </w:numPr>
            </w:pPr>
            <w:r>
              <w:t>Proposal 10: RAN1 to discuss which GNSS assistance information is available to the NTN UE.</w:t>
            </w:r>
          </w:p>
          <w:p w14:paraId="208B0006" w14:textId="77777777" w:rsidR="00EA24E0" w:rsidRDefault="00EA24E0" w:rsidP="00594A63">
            <w:pPr>
              <w:pStyle w:val="af4"/>
              <w:numPr>
                <w:ilvl w:val="0"/>
                <w:numId w:val="3"/>
              </w:numPr>
            </w:pPr>
            <w:r>
              <w:lastRenderedPageBreak/>
              <w:t>Proposal 11: RAN1 to define at least one GNSS accuracy model in 3D space and with time varing behaviour.</w:t>
            </w:r>
          </w:p>
          <w:p w14:paraId="0F8CBAED" w14:textId="77777777" w:rsidR="00EA24E0" w:rsidRDefault="00EA24E0" w:rsidP="00594A63">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af4"/>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af4"/>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af4"/>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af4"/>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af4"/>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4"/>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4"/>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lastRenderedPageBreak/>
              <w:t>Nomor</w:t>
            </w:r>
          </w:p>
        </w:tc>
        <w:tc>
          <w:tcPr>
            <w:tcW w:w="8271" w:type="dxa"/>
            <w:shd w:val="clear" w:color="auto" w:fill="auto"/>
            <w:vAlign w:val="center"/>
          </w:tcPr>
          <w:p w14:paraId="0FDE6023" w14:textId="77777777" w:rsidR="00EA24E0" w:rsidRDefault="00EA24E0" w:rsidP="00594A63">
            <w:pPr>
              <w:pStyle w:val="af4"/>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af4"/>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af4"/>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ko-K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ko-K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 xml:space="preserve">he error model used to estimate the GNSS-assisted information accuracy should consider </w:t>
      </w:r>
      <w:r w:rsidRPr="00A51CE0">
        <w:lastRenderedPageBreak/>
        <w:t>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ko-K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6"/>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0"/>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af0"/>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af0"/>
              <w:spacing w:line="256" w:lineRule="auto"/>
              <w:rPr>
                <w:rFonts w:cs="Arial"/>
              </w:rPr>
            </w:pPr>
            <w:r>
              <w:rPr>
                <w:rFonts w:cs="Arial"/>
              </w:rPr>
              <w:t>SS</w:t>
            </w:r>
          </w:p>
        </w:tc>
        <w:tc>
          <w:tcPr>
            <w:tcW w:w="7834" w:type="dxa"/>
          </w:tcPr>
          <w:p w14:paraId="635A72A6" w14:textId="2F75860F" w:rsidR="00FE0768" w:rsidRDefault="001334D8" w:rsidP="00376D01">
            <w:pPr>
              <w:pStyle w:val="af0"/>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af0"/>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af0"/>
              <w:spacing w:line="256" w:lineRule="auto"/>
              <w:rPr>
                <w:rFonts w:cs="Arial"/>
              </w:rPr>
            </w:pPr>
            <w:r>
              <w:rPr>
                <w:rFonts w:cs="Arial"/>
              </w:rPr>
              <w:t>Intel</w:t>
            </w:r>
          </w:p>
        </w:tc>
        <w:tc>
          <w:tcPr>
            <w:tcW w:w="7834" w:type="dxa"/>
          </w:tcPr>
          <w:p w14:paraId="33B0B9AC" w14:textId="7BA10757" w:rsidR="006D29B9" w:rsidRDefault="006D29B9" w:rsidP="006D29B9">
            <w:pPr>
              <w:pStyle w:val="af0"/>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af0"/>
              <w:spacing w:line="256" w:lineRule="auto"/>
              <w:rPr>
                <w:rFonts w:cs="Arial"/>
              </w:rPr>
            </w:pPr>
            <w:r>
              <w:rPr>
                <w:rFonts w:eastAsia="맑은 고딕" w:cs="Arial"/>
                <w:lang w:eastAsia="ko-KR"/>
              </w:rPr>
              <w:t>LG</w:t>
            </w:r>
          </w:p>
        </w:tc>
        <w:tc>
          <w:tcPr>
            <w:tcW w:w="7834" w:type="dxa"/>
          </w:tcPr>
          <w:p w14:paraId="08C379B0" w14:textId="77D20795" w:rsidR="00487182" w:rsidRDefault="00487182" w:rsidP="00487182">
            <w:pPr>
              <w:pStyle w:val="af0"/>
              <w:spacing w:line="256" w:lineRule="auto"/>
              <w:rPr>
                <w:rFonts w:cs="Arial"/>
              </w:rPr>
            </w:pPr>
            <w:r>
              <w:rPr>
                <w:rFonts w:eastAsia="맑은 고딕" w:cs="Arial"/>
                <w:lang w:eastAsia="ko-KR"/>
              </w:rPr>
              <w:t>Agree with Panasonic.</w:t>
            </w:r>
          </w:p>
        </w:tc>
      </w:tr>
      <w:tr w:rsidR="006D29B9" w14:paraId="2E249B00" w14:textId="77777777" w:rsidTr="00376D01">
        <w:tc>
          <w:tcPr>
            <w:tcW w:w="1795" w:type="dxa"/>
          </w:tcPr>
          <w:p w14:paraId="40E39A2B" w14:textId="77777777" w:rsidR="006D29B9" w:rsidRDefault="006D29B9" w:rsidP="006D29B9">
            <w:pPr>
              <w:pStyle w:val="af0"/>
              <w:spacing w:line="256" w:lineRule="auto"/>
              <w:rPr>
                <w:rFonts w:cs="Arial"/>
              </w:rPr>
            </w:pPr>
          </w:p>
        </w:tc>
        <w:tc>
          <w:tcPr>
            <w:tcW w:w="7834" w:type="dxa"/>
          </w:tcPr>
          <w:p w14:paraId="769E3357" w14:textId="77777777" w:rsidR="006D29B9" w:rsidRDefault="006D29B9" w:rsidP="006D29B9">
            <w:pPr>
              <w:pStyle w:val="af0"/>
              <w:spacing w:line="256" w:lineRule="auto"/>
              <w:rPr>
                <w:rFonts w:cs="Arial"/>
              </w:rPr>
            </w:pPr>
          </w:p>
        </w:tc>
      </w:tr>
      <w:tr w:rsidR="006D29B9" w14:paraId="0B73CD1D" w14:textId="77777777" w:rsidTr="00376D01">
        <w:tc>
          <w:tcPr>
            <w:tcW w:w="1795" w:type="dxa"/>
          </w:tcPr>
          <w:p w14:paraId="4D5B155B" w14:textId="77777777" w:rsidR="006D29B9" w:rsidRDefault="006D29B9" w:rsidP="006D29B9">
            <w:pPr>
              <w:pStyle w:val="af0"/>
              <w:spacing w:line="256" w:lineRule="auto"/>
              <w:rPr>
                <w:rFonts w:cs="Arial"/>
              </w:rPr>
            </w:pPr>
          </w:p>
        </w:tc>
        <w:tc>
          <w:tcPr>
            <w:tcW w:w="7834" w:type="dxa"/>
          </w:tcPr>
          <w:p w14:paraId="3A4F3367" w14:textId="77777777" w:rsidR="006D29B9" w:rsidRDefault="006D29B9" w:rsidP="006D29B9">
            <w:pPr>
              <w:pStyle w:val="af0"/>
              <w:spacing w:line="256" w:lineRule="auto"/>
              <w:rPr>
                <w:rFonts w:cs="Arial"/>
              </w:rPr>
            </w:pPr>
          </w:p>
        </w:tc>
      </w:tr>
      <w:tr w:rsidR="006D29B9" w14:paraId="3E04B473" w14:textId="77777777" w:rsidTr="00376D01">
        <w:tc>
          <w:tcPr>
            <w:tcW w:w="1795" w:type="dxa"/>
          </w:tcPr>
          <w:p w14:paraId="74908B14" w14:textId="77777777" w:rsidR="006D29B9" w:rsidRDefault="006D29B9" w:rsidP="006D29B9">
            <w:pPr>
              <w:pStyle w:val="af0"/>
              <w:spacing w:line="256" w:lineRule="auto"/>
              <w:rPr>
                <w:rFonts w:cs="Arial"/>
              </w:rPr>
            </w:pPr>
          </w:p>
        </w:tc>
        <w:tc>
          <w:tcPr>
            <w:tcW w:w="7834" w:type="dxa"/>
          </w:tcPr>
          <w:p w14:paraId="68346B49" w14:textId="77777777" w:rsidR="006D29B9" w:rsidRDefault="006D29B9" w:rsidP="006D29B9">
            <w:pPr>
              <w:pStyle w:val="af0"/>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lastRenderedPageBreak/>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9D01" w14:textId="77777777" w:rsidR="00972D8A" w:rsidRDefault="00972D8A">
      <w:r>
        <w:separator/>
      </w:r>
    </w:p>
  </w:endnote>
  <w:endnote w:type="continuationSeparator" w:id="0">
    <w:p w14:paraId="3D7CD71B" w14:textId="77777777" w:rsidR="00972D8A" w:rsidRDefault="0097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AF1D" w14:textId="77777777" w:rsidR="00972D8A" w:rsidRDefault="00972D8A">
      <w:r>
        <w:separator/>
      </w:r>
    </w:p>
  </w:footnote>
  <w:footnote w:type="continuationSeparator" w:id="0">
    <w:p w14:paraId="5774ECF9" w14:textId="77777777" w:rsidR="00972D8A" w:rsidRDefault="0097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풍선 도움말 텍스트 Char"/>
    <w:link w:val="af3"/>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캡션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character" w:customStyle="1" w:styleId="Char5">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본문 Char"/>
    <w:link w:val="af0"/>
    <w:rsid w:val="00EB04FF"/>
    <w:rPr>
      <w:lang w:val="en-GB"/>
    </w:rPr>
  </w:style>
  <w:style w:type="table" w:styleId="af6">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메모 텍스트 Char"/>
    <w:link w:val="af2"/>
    <w:semiHidden/>
    <w:rsid w:val="000E4A2D"/>
    <w:rPr>
      <w:lang w:val="en-GB"/>
    </w:rPr>
  </w:style>
  <w:style w:type="character" w:customStyle="1" w:styleId="Char6">
    <w:name w:val="메모 주제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package" Target="embeddings/Microsoft_Visio_Drawing3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7.png"/><Relationship Id="rId27" Type="http://schemas.openxmlformats.org/officeDocument/2006/relationships/package" Target="embeddings/Microsoft_Visio_Drawing4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BD60485A-1F1D-42EE-B0F1-2E476E4F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17687</Words>
  <Characters>100820</Characters>
  <Application>Microsoft Office Word</Application>
  <DocSecurity>0</DocSecurity>
  <Lines>840</Lines>
  <Paragraphs>236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118271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박해욱/책임연구원/미래기술센터 C&amp;M표준(연)5G무선통신표준Task(haewook.park@lge.com)</cp:lastModifiedBy>
  <cp:revision>2</cp:revision>
  <cp:lastPrinted>2017-11-03T15:53:00Z</cp:lastPrinted>
  <dcterms:created xsi:type="dcterms:W3CDTF">2020-08-24T14:42:00Z</dcterms:created>
  <dcterms:modified xsi:type="dcterms:W3CDTF">2020-08-24T14:42:00Z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