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further determined in normative work </w:t>
      </w:r>
      <w:r w:rsidR="003A002B">
        <w:rPr>
          <w:lang w:eastAsia="ko-KR"/>
        </w:rPr>
        <w:t xml:space="preserve">ZTE, LG, </w:t>
      </w:r>
      <w:proofErr w:type="spellStart"/>
      <w:r w:rsidR="003A002B">
        <w:rPr>
          <w:lang w:eastAsia="ko-KR"/>
        </w:rPr>
        <w:t>Fraumhofer</w:t>
      </w:r>
      <w:proofErr w:type="spellEnd"/>
    </w:p>
    <w:p w14:paraId="53B0D2D1" w14:textId="6F4F3BA9" w:rsidR="00F52C68" w:rsidRDefault="00F52C68" w:rsidP="00F52C68">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Proposal 7: The design of the roots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w:t>
            </w:r>
            <w:proofErr w:type="spellStart"/>
            <w:r>
              <w:t>gNB</w:t>
            </w:r>
            <w:proofErr w:type="spellEnd"/>
            <w:r>
              <w:t xml:space="preserve">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proofErr w:type="spellStart"/>
      <w:r w:rsidRPr="003A002B">
        <w:t>Zadoff</w:t>
      </w:r>
      <w:proofErr w:type="spellEnd"/>
      <w:r w:rsidRPr="003A002B">
        <w:t>-Chu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 xml:space="preserve">Agree as informative guidance for further </w:t>
            </w:r>
            <w:proofErr w:type="spellStart"/>
            <w:r>
              <w:rPr>
                <w:rFonts w:cs="Arial"/>
              </w:rPr>
              <w:t>tdoc</w:t>
            </w:r>
            <w:proofErr w:type="spellEnd"/>
            <w:r>
              <w:rPr>
                <w:rFonts w:cs="Arial"/>
              </w:rPr>
              <w:t xml:space="preserve">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BodyText"/>
              <w:spacing w:line="256" w:lineRule="auto"/>
              <w:rPr>
                <w:rFonts w:cs="Arial"/>
              </w:rPr>
            </w:pPr>
            <w:r>
              <w:rPr>
                <w:rFonts w:cs="Arial"/>
              </w:rPr>
              <w:t>Intel</w:t>
            </w:r>
          </w:p>
        </w:tc>
        <w:tc>
          <w:tcPr>
            <w:tcW w:w="7834" w:type="dxa"/>
          </w:tcPr>
          <w:p w14:paraId="1605BE6A" w14:textId="39B2A647" w:rsidR="00C50BCE" w:rsidRDefault="00C50BCE" w:rsidP="00C50BCE">
            <w:pPr>
              <w:pStyle w:val="BodyText"/>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BodyText"/>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BodyText"/>
              <w:spacing w:line="256" w:lineRule="auto"/>
              <w:rPr>
                <w:rFonts w:cs="Arial"/>
              </w:rPr>
            </w:pPr>
            <w:r>
              <w:rPr>
                <w:rFonts w:cs="Arial"/>
              </w:rPr>
              <w:t>Agree</w:t>
            </w:r>
          </w:p>
        </w:tc>
      </w:tr>
      <w:tr w:rsidR="00C50BCE" w14:paraId="4D43FC43" w14:textId="77777777" w:rsidTr="00376D01">
        <w:tc>
          <w:tcPr>
            <w:tcW w:w="1795" w:type="dxa"/>
          </w:tcPr>
          <w:p w14:paraId="2021086B" w14:textId="77777777" w:rsidR="00C50BCE" w:rsidRDefault="00C50BCE" w:rsidP="00C50BCE">
            <w:pPr>
              <w:pStyle w:val="BodyText"/>
              <w:spacing w:line="256" w:lineRule="auto"/>
              <w:rPr>
                <w:rFonts w:cs="Arial"/>
              </w:rPr>
            </w:pPr>
          </w:p>
        </w:tc>
        <w:tc>
          <w:tcPr>
            <w:tcW w:w="7834" w:type="dxa"/>
          </w:tcPr>
          <w:p w14:paraId="2E4CA433" w14:textId="77777777" w:rsidR="00C50BCE" w:rsidRDefault="00C50BCE" w:rsidP="00C50BCE">
            <w:pPr>
              <w:pStyle w:val="BodyText"/>
              <w:spacing w:line="256" w:lineRule="auto"/>
              <w:rPr>
                <w:rFonts w:cs="Arial"/>
              </w:rPr>
            </w:pP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BodyText"/>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different </w:t>
      </w:r>
      <w:proofErr w:type="spellStart"/>
      <w:r w:rsidRPr="00F838C8">
        <w:rPr>
          <w:rFonts w:eastAsia="SimSun"/>
        </w:rPr>
        <w:t>gNBs</w:t>
      </w:r>
      <w:proofErr w:type="spellEnd"/>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w:t>
      </w:r>
      <w:proofErr w:type="spellStart"/>
      <w:r w:rsidRPr="00373D27">
        <w:rPr>
          <w:rFonts w:eastAsia="SimSun"/>
        </w:rPr>
        <w:t>gNB</w:t>
      </w:r>
      <w:proofErr w:type="spellEnd"/>
      <w:r w:rsidRPr="00373D27">
        <w:rPr>
          <w:rFonts w:eastAsia="SimSun"/>
        </w:rPr>
        <w:t xml:space="preserve">. Both feeder links are connected to the same </w:t>
      </w:r>
      <w:proofErr w:type="spellStart"/>
      <w:r w:rsidRPr="00373D27">
        <w:rPr>
          <w:rFonts w:eastAsia="SimSun"/>
        </w:rPr>
        <w:t>gNB</w:t>
      </w:r>
      <w:proofErr w:type="spellEnd"/>
      <w:r w:rsidRPr="00373D27">
        <w:rPr>
          <w:rFonts w:eastAsia="SimSun"/>
        </w:rPr>
        <w:t xml:space="preserve">, but through different NTN-GWs. </w:t>
      </w:r>
      <w:r>
        <w:rPr>
          <w:rFonts w:eastAsia="SimSun"/>
        </w:rPr>
        <w:t>With</w:t>
      </w:r>
      <w:r w:rsidRPr="00373D27">
        <w:rPr>
          <w:rFonts w:eastAsia="SimSun"/>
        </w:rPr>
        <w:t xml:space="preserve"> two feeder link connections serving via the same satellite during the transition, the </w:t>
      </w:r>
      <w:proofErr w:type="spellStart"/>
      <w:r w:rsidRPr="00373D27">
        <w:rPr>
          <w:rFonts w:eastAsia="SimSun"/>
        </w:rPr>
        <w:t>gNB</w:t>
      </w:r>
      <w:proofErr w:type="spellEnd"/>
      <w:r w:rsidRPr="00373D27">
        <w:rPr>
          <w:rFonts w:eastAsia="SimSun"/>
        </w:rPr>
        <w:t xml:space="preserve"> can transmit the DL reference signals without interruption to keep the cell "alive". There may be no need of a HO if the security keys of </w:t>
      </w:r>
      <w:proofErr w:type="spellStart"/>
      <w:r w:rsidRPr="00373D27">
        <w:rPr>
          <w:rFonts w:eastAsia="SimSun"/>
        </w:rPr>
        <w:t>gNB</w:t>
      </w:r>
      <w:proofErr w:type="spellEnd"/>
      <w:r w:rsidRPr="00373D27">
        <w:rPr>
          <w:rFonts w:eastAsia="SimSun"/>
        </w:rPr>
        <w:t xml:space="preserve"> can be kept in the UE. Re-configuration of </w:t>
      </w:r>
      <w:proofErr w:type="spellStart"/>
      <w:r w:rsidRPr="00373D27">
        <w:rPr>
          <w:rFonts w:eastAsia="SimSun"/>
        </w:rPr>
        <w:t>gNB</w:t>
      </w:r>
      <w:proofErr w:type="spellEnd"/>
      <w:r w:rsidRPr="00373D27">
        <w:rPr>
          <w:rFonts w:eastAsia="SimSun"/>
        </w:rPr>
        <w:t xml:space="preserve">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lastRenderedPageBreak/>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 xml:space="preserve">5: For feeder link switch, the </w:t>
            </w:r>
            <w:proofErr w:type="spellStart"/>
            <w:r w:rsidR="00D05FCF">
              <w:t>validness</w:t>
            </w:r>
            <w:proofErr w:type="spellEnd"/>
            <w:r w:rsidR="00D05FCF">
              <w:t xml:space="preserve"> of the scenario where the same </w:t>
            </w:r>
            <w:proofErr w:type="spellStart"/>
            <w:r w:rsidR="00D05FCF">
              <w:t>gNB</w:t>
            </w:r>
            <w:proofErr w:type="spellEnd"/>
            <w:r w:rsidR="00D05FCF">
              <w:t xml:space="preserve"> is connected to multiple satellite gateways is questionable. In contrast, the feeder link switch involving different </w:t>
            </w:r>
            <w:proofErr w:type="spellStart"/>
            <w:r w:rsidR="00D05FCF">
              <w:t>gNB’s</w:t>
            </w:r>
            <w:proofErr w:type="spellEnd"/>
            <w:r w:rsidR="00D05FCF">
              <w:t xml:space="preserve">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 xml:space="preserve">Proposal 3: RAN1 to define an assumption of the maximum tolerable </w:t>
            </w:r>
            <w:proofErr w:type="spellStart"/>
            <w:r>
              <w:t>gNB</w:t>
            </w:r>
            <w:proofErr w:type="spellEnd"/>
            <w:r>
              <w:t xml:space="preserve">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 xml:space="preserve">Observation 2: Synchronizing UEs to perform HO without collision introduces complexity and additional signalling in the HO command. Providing assistance data to aid RRC re-establishment may assume a land-based connection between source and target </w:t>
            </w:r>
            <w:proofErr w:type="spellStart"/>
            <w:r w:rsidRPr="005827EF">
              <w:t>gNBs</w:t>
            </w:r>
            <w:proofErr w:type="spellEnd"/>
            <w:r w:rsidRPr="005827EF">
              <w:t>, which cannot be guaranteed.</w:t>
            </w:r>
          </w:p>
          <w:p w14:paraId="1D6A8FAE" w14:textId="77777777" w:rsidR="00D05FCF" w:rsidRDefault="00D05FCF" w:rsidP="00594A63">
            <w:pPr>
              <w:pStyle w:val="ListParagraph"/>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lastRenderedPageBreak/>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 xml:space="preserve">Integrated </w:t>
      </w:r>
      <w:proofErr w:type="spellStart"/>
      <w:r>
        <w:t>gNB</w:t>
      </w:r>
      <w:proofErr w:type="spellEnd"/>
      <w:r>
        <w:t>/Gateway with one feeder links or multiple feeder links</w:t>
      </w:r>
    </w:p>
    <w:p w14:paraId="4AF75152" w14:textId="7CDE0602" w:rsidR="00A80AA6" w:rsidRDefault="0020270C" w:rsidP="00F37FD7">
      <w:pPr>
        <w:pStyle w:val="ListParagraph"/>
        <w:numPr>
          <w:ilvl w:val="0"/>
          <w:numId w:val="29"/>
        </w:numPr>
      </w:pPr>
      <w:r>
        <w:t xml:space="preserve">Separate </w:t>
      </w:r>
      <w:proofErr w:type="spellStart"/>
      <w:r>
        <w:t>gNB</w:t>
      </w:r>
      <w:proofErr w:type="spellEnd"/>
      <w:r>
        <w:t>/Gateway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w:t>
            </w:r>
            <w:r>
              <w:lastRenderedPageBreak/>
              <w:t xml:space="preserve">experienced on the NR </w:t>
            </w:r>
            <w:proofErr w:type="spellStart"/>
            <w:r>
              <w:t>Uu</w:t>
            </w:r>
            <w:proofErr w:type="spellEnd"/>
            <w:r>
              <w:t xml:space="preserve">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lastRenderedPageBreak/>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proofErr w:type="spellStart"/>
            <w:r w:rsidRPr="003B14C9">
              <w:rPr>
                <w:rFonts w:cs="Arial"/>
                <w:i/>
                <w:iCs/>
              </w:rPr>
              <w:t>RRCReconfiguration</w:t>
            </w:r>
            <w:proofErr w:type="spellEnd"/>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lastRenderedPageBreak/>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BodyText"/>
              <w:spacing w:line="256" w:lineRule="auto"/>
              <w:rPr>
                <w:rFonts w:cs="Arial"/>
              </w:rPr>
            </w:pPr>
            <w:r>
              <w:rPr>
                <w:rFonts w:cs="Arial"/>
              </w:rPr>
              <w:t>Intel</w:t>
            </w:r>
          </w:p>
        </w:tc>
        <w:tc>
          <w:tcPr>
            <w:tcW w:w="7834" w:type="dxa"/>
          </w:tcPr>
          <w:p w14:paraId="5FB529BC" w14:textId="44375889" w:rsidR="00C50BCE" w:rsidRDefault="00C50BCE" w:rsidP="00C50BCE">
            <w:pPr>
              <w:pStyle w:val="BodyText"/>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BodyText"/>
              <w:spacing w:line="256" w:lineRule="auto"/>
              <w:rPr>
                <w:rFonts w:cs="Arial"/>
              </w:rPr>
            </w:pPr>
            <w:r>
              <w:rPr>
                <w:rFonts w:cs="Arial"/>
              </w:rPr>
              <w:lastRenderedPageBreak/>
              <w:t>Ericsson</w:t>
            </w:r>
          </w:p>
        </w:tc>
        <w:tc>
          <w:tcPr>
            <w:tcW w:w="7834" w:type="dxa"/>
          </w:tcPr>
          <w:p w14:paraId="45B4BA33" w14:textId="1421B1A2" w:rsidR="00C50BCE" w:rsidRDefault="00112854" w:rsidP="00C50BCE">
            <w:pPr>
              <w:pStyle w:val="BodyText"/>
              <w:spacing w:line="256" w:lineRule="auto"/>
              <w:rPr>
                <w:rFonts w:cs="Arial"/>
              </w:rPr>
            </w:pPr>
            <w:r>
              <w:rPr>
                <w:rFonts w:cs="Arial"/>
              </w:rPr>
              <w:t>Agree</w:t>
            </w:r>
          </w:p>
        </w:tc>
      </w:tr>
      <w:tr w:rsidR="00C50BCE" w14:paraId="4297F488" w14:textId="77777777" w:rsidTr="00376D01">
        <w:tc>
          <w:tcPr>
            <w:tcW w:w="1795" w:type="dxa"/>
          </w:tcPr>
          <w:p w14:paraId="6ADD534B" w14:textId="77777777" w:rsidR="00C50BCE" w:rsidRDefault="00C50BCE" w:rsidP="00C50BCE">
            <w:pPr>
              <w:pStyle w:val="BodyText"/>
              <w:spacing w:line="256" w:lineRule="auto"/>
              <w:rPr>
                <w:rFonts w:cs="Arial"/>
              </w:rPr>
            </w:pPr>
          </w:p>
        </w:tc>
        <w:tc>
          <w:tcPr>
            <w:tcW w:w="7834" w:type="dxa"/>
          </w:tcPr>
          <w:p w14:paraId="47D146DA" w14:textId="77777777" w:rsidR="00C50BCE" w:rsidRDefault="00C50BCE" w:rsidP="00C50BCE">
            <w:pPr>
              <w:pStyle w:val="BodyText"/>
              <w:spacing w:line="256" w:lineRule="auto"/>
              <w:rPr>
                <w:rFonts w:cs="Arial"/>
              </w:rPr>
            </w:pP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BodyText"/>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lastRenderedPageBreak/>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lastRenderedPageBreak/>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t>Observation 9: In some cases, a UE cannot be expected to reliably detect the used DL polarization.</w:t>
            </w:r>
          </w:p>
          <w:p w14:paraId="3FD0BC97" w14:textId="77777777" w:rsidR="00914881" w:rsidRDefault="00914881" w:rsidP="00376D01">
            <w:pPr>
              <w:pStyle w:val="ListParagraph"/>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lastRenderedPageBreak/>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lastRenderedPageBreak/>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3.3pt" o:ole="">
            <v:imagedata r:id="rId13" o:title=""/>
          </v:shape>
          <o:OLEObject Type="Embed" ProgID="Visio.Drawing.15" ShapeID="_x0000_i1025" DrawAspect="Content" ObjectID="_1659791719"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w:t>
      </w:r>
      <w:r w:rsidR="00170FBF">
        <w:rPr>
          <w:lang w:eastAsia="ko-KR"/>
        </w:rPr>
        <w:t xml:space="preserve">block for both </w:t>
      </w:r>
      <w:proofErr w:type="spellStart"/>
      <w:r w:rsidR="00170FBF">
        <w:rPr>
          <w:lang w:eastAsia="ko-KR"/>
        </w:rPr>
        <w:t>Opt</w:t>
      </w:r>
      <w:proofErr w:type="spellEnd"/>
      <w:r w:rsidR="00170FBF">
        <w:rPr>
          <w:lang w:eastAsia="ko-KR"/>
        </w:rPr>
        <w:t xml:space="preserve"> 2 and </w:t>
      </w:r>
      <w:proofErr w:type="spellStart"/>
      <w:r w:rsidR="00170FBF">
        <w:rPr>
          <w:lang w:eastAsia="ko-KR"/>
        </w:rPr>
        <w:t>Opt</w:t>
      </w:r>
      <w:proofErr w:type="spellEnd"/>
      <w:r w:rsidR="00170FBF">
        <w:rPr>
          <w:lang w:eastAsia="ko-KR"/>
        </w:rPr>
        <w:t xml:space="preserve">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55pt;height:138pt" o:ole="">
            <v:imagedata r:id="rId16" o:title=""/>
          </v:shape>
          <o:OLEObject Type="Embed" ProgID="Visio.Drawing.15" ShapeID="_x0000_i1026" DrawAspect="Content" ObjectID="_1659791720"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lastRenderedPageBreak/>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lastRenderedPageBreak/>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lastRenderedPageBreak/>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 xml:space="preserve">Potential proposal 4-1: Any changes needed for beam management should be as aligned with other Rel-17 features as possible. From this perspective, it would be recommended to further investigate the aspects already considered for Rel-17 </w:t>
            </w:r>
            <w:proofErr w:type="spellStart"/>
            <w:r>
              <w:t>feMIMO</w:t>
            </w:r>
            <w:proofErr w:type="spellEnd"/>
            <w:r>
              <w:t>.</w:t>
            </w:r>
          </w:p>
          <w:p w14:paraId="686039A5" w14:textId="77777777" w:rsidR="00170FBF" w:rsidRDefault="00170FBF" w:rsidP="00376D01">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w:t>
            </w:r>
            <w:proofErr w:type="spellStart"/>
            <w:r>
              <w:t>gNB</w:t>
            </w:r>
            <w:proofErr w:type="spellEnd"/>
            <w:r>
              <w:t>.</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w:t>
            </w:r>
            <w:proofErr w:type="spellStart"/>
            <w:r>
              <w:rPr>
                <w:rFonts w:eastAsia="Malgun Gothic"/>
                <w:bCs/>
                <w:iCs/>
                <w:lang w:eastAsia="ko-KR"/>
              </w:rPr>
              <w:t>gNB</w:t>
            </w:r>
            <w:proofErr w:type="spellEnd"/>
            <w:r>
              <w:rPr>
                <w:rFonts w:eastAsia="Malgun Gothic"/>
                <w:bCs/>
                <w:iCs/>
                <w:lang w:eastAsia="ko-KR"/>
              </w:rPr>
              <w:t xml:space="preserve">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w:t>
            </w:r>
            <w:r>
              <w:rPr>
                <w:bCs/>
                <w:iCs/>
                <w:lang w:eastAsia="ko-KR"/>
              </w:rPr>
              <w:lastRenderedPageBreak/>
              <w:t xml:space="preserve">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w:t>
            </w:r>
            <w:r>
              <w:rPr>
                <w:rFonts w:eastAsiaTheme="minorEastAsia" w:hint="eastAsia"/>
                <w:lang w:eastAsia="zh-CN"/>
              </w:rPr>
              <w:lastRenderedPageBreak/>
              <w:t>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7pt;height:263.55pt" o:ole="">
                  <v:imagedata r:id="rId18" o:title=""/>
                </v:shape>
                <o:OLEObject Type="Embed" ProgID="Visio.Drawing.15" ShapeID="_x0000_i1027" DrawAspect="Content" ObjectID="_1659791721"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lastRenderedPageBreak/>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BodyText"/>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 xml:space="preserve">“efficient satellite beam switch” is an inaccurate term. This would be up to </w:t>
            </w:r>
            <w:proofErr w:type="spellStart"/>
            <w:r>
              <w:t>gNB</w:t>
            </w:r>
            <w:proofErr w:type="spellEnd"/>
            <w:r>
              <w:t xml:space="preserve"> implementation. As a starting point, RAN1 will provide the means for changing beams, and the </w:t>
            </w:r>
            <w:proofErr w:type="spellStart"/>
            <w:r>
              <w:t>gNB</w:t>
            </w:r>
            <w:proofErr w:type="spellEnd"/>
            <w:r>
              <w:t xml:space="preserve">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 xml:space="preserve">W.r.t the last bullet, network triggering mechanism for BWP switching, it seems that such solution is already supported in NR, e.g., via DCI or timer based according to </w:t>
            </w:r>
            <w:proofErr w:type="spellStart"/>
            <w:r>
              <w:rPr>
                <w:rFonts w:eastAsiaTheme="minorEastAsia"/>
                <w:lang w:eastAsia="zh-CN"/>
              </w:rPr>
              <w:t>gNB</w:t>
            </w:r>
            <w:proofErr w:type="spellEnd"/>
            <w:r>
              <w:rPr>
                <w:rFonts w:eastAsiaTheme="minorEastAsia"/>
                <w:lang w:eastAsia="zh-CN"/>
              </w:rPr>
              <w:t xml:space="preserve">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w:t>
            </w:r>
            <w:proofErr w:type="spellStart"/>
            <w:r>
              <w:t>gNB</w:t>
            </w:r>
            <w:proofErr w:type="spellEnd"/>
            <w:r>
              <w:t xml:space="preserve">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lastRenderedPageBreak/>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lastRenderedPageBreak/>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lastRenderedPageBreak/>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BodyText"/>
              <w:spacing w:line="256" w:lineRule="auto"/>
              <w:rPr>
                <w:rFonts w:cs="Arial"/>
              </w:rPr>
            </w:pPr>
            <w:r>
              <w:rPr>
                <w:rFonts w:cs="Arial"/>
              </w:rPr>
              <w:t>Intel</w:t>
            </w:r>
          </w:p>
        </w:tc>
        <w:tc>
          <w:tcPr>
            <w:tcW w:w="7834" w:type="dxa"/>
          </w:tcPr>
          <w:p w14:paraId="76868FEF" w14:textId="0C4E9540" w:rsidR="00C50BCE" w:rsidRDefault="00C50BCE" w:rsidP="00C50BCE">
            <w:pPr>
              <w:pStyle w:val="BodyText"/>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BodyText"/>
              <w:spacing w:line="256" w:lineRule="auto"/>
              <w:rPr>
                <w:rFonts w:cs="Arial"/>
              </w:rPr>
            </w:pPr>
            <w:r>
              <w:rPr>
                <w:rFonts w:cs="Arial"/>
              </w:rPr>
              <w:t>Ericsson</w:t>
            </w:r>
          </w:p>
        </w:tc>
        <w:tc>
          <w:tcPr>
            <w:tcW w:w="7834" w:type="dxa"/>
          </w:tcPr>
          <w:p w14:paraId="1C06A034" w14:textId="0BCFFCE5" w:rsidR="00C50BCE" w:rsidRDefault="00454970" w:rsidP="00C50BCE">
            <w:pPr>
              <w:pStyle w:val="BodyText"/>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54970" w14:paraId="173A1E4B" w14:textId="77777777" w:rsidTr="00376D01">
        <w:tc>
          <w:tcPr>
            <w:tcW w:w="1795" w:type="dxa"/>
          </w:tcPr>
          <w:p w14:paraId="12D2DC8D" w14:textId="77777777" w:rsidR="00454970" w:rsidRDefault="00454970" w:rsidP="00C50BCE">
            <w:pPr>
              <w:pStyle w:val="BodyText"/>
              <w:spacing w:line="256" w:lineRule="auto"/>
              <w:rPr>
                <w:rFonts w:cs="Arial"/>
              </w:rPr>
            </w:pPr>
          </w:p>
        </w:tc>
        <w:tc>
          <w:tcPr>
            <w:tcW w:w="7834" w:type="dxa"/>
          </w:tcPr>
          <w:p w14:paraId="3E63D6F4" w14:textId="77777777" w:rsidR="00454970" w:rsidRDefault="00454970" w:rsidP="00C50BCE">
            <w:pPr>
              <w:pStyle w:val="BodyText"/>
              <w:spacing w:line="256" w:lineRule="auto"/>
              <w:rPr>
                <w:rFonts w:cs="Arial"/>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lastRenderedPageBreak/>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BodyText"/>
              <w:spacing w:line="256" w:lineRule="auto"/>
              <w:rPr>
                <w:rFonts w:cs="Arial"/>
              </w:rPr>
            </w:pPr>
            <w:r>
              <w:rPr>
                <w:rFonts w:cs="Arial"/>
              </w:rPr>
              <w:t>Intel</w:t>
            </w:r>
          </w:p>
        </w:tc>
        <w:tc>
          <w:tcPr>
            <w:tcW w:w="7834" w:type="dxa"/>
          </w:tcPr>
          <w:p w14:paraId="3CE8046B" w14:textId="2B49DDD5" w:rsidR="00282533" w:rsidRDefault="00282533" w:rsidP="00282533">
            <w:pPr>
              <w:pStyle w:val="BodyText"/>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45043F46" w:rsidR="00282533" w:rsidRDefault="00F64F43" w:rsidP="00282533">
            <w:pPr>
              <w:pStyle w:val="BodyText"/>
              <w:spacing w:line="256" w:lineRule="auto"/>
              <w:rPr>
                <w:rFonts w:cs="Arial"/>
              </w:rPr>
            </w:pPr>
            <w:r>
              <w:rPr>
                <w:rFonts w:cs="Arial"/>
              </w:rPr>
              <w:t>Ericsson</w:t>
            </w:r>
          </w:p>
        </w:tc>
        <w:tc>
          <w:tcPr>
            <w:tcW w:w="7834" w:type="dxa"/>
          </w:tcPr>
          <w:p w14:paraId="2D3B5836" w14:textId="7C1275A0" w:rsidR="00282533" w:rsidRDefault="00F64F43" w:rsidP="00282533">
            <w:pPr>
              <w:pStyle w:val="BodyText"/>
              <w:spacing w:line="256" w:lineRule="auto"/>
              <w:rPr>
                <w:rFonts w:cs="Arial"/>
              </w:rPr>
            </w:pPr>
            <w:r w:rsidRPr="00F64F43">
              <w:rPr>
                <w:rFonts w:cs="Arial"/>
              </w:rPr>
              <w:t>This proposal is not necessary. The discussion can be part of Proposal 4-1 already</w:t>
            </w:r>
          </w:p>
        </w:tc>
      </w:tr>
      <w:tr w:rsidR="00F64F43" w14:paraId="57CF504A" w14:textId="77777777" w:rsidTr="00376D01">
        <w:tc>
          <w:tcPr>
            <w:tcW w:w="1795" w:type="dxa"/>
          </w:tcPr>
          <w:p w14:paraId="7CE2E0A9" w14:textId="77777777" w:rsidR="00F64F43" w:rsidRDefault="00F64F43" w:rsidP="00282533">
            <w:pPr>
              <w:pStyle w:val="BodyText"/>
              <w:spacing w:line="256" w:lineRule="auto"/>
              <w:rPr>
                <w:rFonts w:cs="Arial"/>
              </w:rPr>
            </w:pPr>
          </w:p>
        </w:tc>
        <w:tc>
          <w:tcPr>
            <w:tcW w:w="7834" w:type="dxa"/>
          </w:tcPr>
          <w:p w14:paraId="26D1C069" w14:textId="77777777" w:rsidR="00F64F43" w:rsidRDefault="00F64F43" w:rsidP="00282533">
            <w:pPr>
              <w:pStyle w:val="BodyText"/>
              <w:spacing w:line="256" w:lineRule="auto"/>
              <w:rPr>
                <w:rFonts w:cs="Arial"/>
              </w:rPr>
            </w:pP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support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BodyText"/>
              <w:spacing w:line="256" w:lineRule="auto"/>
              <w:rPr>
                <w:rFonts w:cs="Arial"/>
              </w:rPr>
            </w:pPr>
            <w:r>
              <w:rPr>
                <w:rFonts w:cs="Arial"/>
              </w:rPr>
              <w:t>Intel</w:t>
            </w:r>
          </w:p>
        </w:tc>
        <w:tc>
          <w:tcPr>
            <w:tcW w:w="7834" w:type="dxa"/>
          </w:tcPr>
          <w:p w14:paraId="6B34712C" w14:textId="3FC4D91F" w:rsidR="00282533" w:rsidRDefault="00282533" w:rsidP="00282533">
            <w:pPr>
              <w:pStyle w:val="BodyText"/>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non-codebook based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BodyText"/>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BodyText"/>
              <w:spacing w:line="256" w:lineRule="auto"/>
              <w:rPr>
                <w:rFonts w:cs="Arial"/>
              </w:rPr>
            </w:pPr>
            <w:r w:rsidRPr="00F64F43">
              <w:rPr>
                <w:rFonts w:cs="Arial"/>
              </w:rPr>
              <w:t>We support this proposal.</w:t>
            </w:r>
            <w:bookmarkStart w:id="4" w:name="_GoBack"/>
            <w:bookmarkEnd w:id="4"/>
          </w:p>
        </w:tc>
      </w:tr>
      <w:tr w:rsidR="00F64F43" w14:paraId="7DC0F0D0" w14:textId="77777777" w:rsidTr="00376D01">
        <w:tc>
          <w:tcPr>
            <w:tcW w:w="1795" w:type="dxa"/>
          </w:tcPr>
          <w:p w14:paraId="11024133" w14:textId="77777777" w:rsidR="00F64F43" w:rsidRDefault="00F64F43" w:rsidP="00282533">
            <w:pPr>
              <w:pStyle w:val="BodyText"/>
              <w:spacing w:line="256" w:lineRule="auto"/>
              <w:rPr>
                <w:rFonts w:cs="Arial"/>
              </w:rPr>
            </w:pPr>
          </w:p>
        </w:tc>
        <w:tc>
          <w:tcPr>
            <w:tcW w:w="7834" w:type="dxa"/>
          </w:tcPr>
          <w:p w14:paraId="1E8C0C4F" w14:textId="77777777" w:rsidR="00F64F43" w:rsidRDefault="00F64F43" w:rsidP="00282533">
            <w:pPr>
              <w:pStyle w:val="BodyText"/>
              <w:spacing w:line="256" w:lineRule="auto"/>
              <w:rPr>
                <w:rFonts w:cs="Arial"/>
              </w:rPr>
            </w:pP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4A3CE46" w14:textId="1AA33F36" w:rsidR="00594A63" w:rsidRDefault="009A4A21" w:rsidP="007339B0">
      <w:pPr>
        <w:pStyle w:val="Header"/>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Header"/>
        <w:tabs>
          <w:tab w:val="left" w:pos="666"/>
        </w:tabs>
        <w:spacing w:after="120"/>
        <w:ind w:right="-57"/>
        <w:jc w:val="both"/>
        <w:rPr>
          <w:b w:val="0"/>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t>
      </w:r>
      <w:r w:rsidRPr="0019171D">
        <w:rPr>
          <w:bCs/>
          <w:iCs/>
        </w:rPr>
        <w:lastRenderedPageBreak/>
        <w:t>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7pt;height:94.3pt" o:ole="">
            <v:imagedata r:id="rId24" o:title=""/>
          </v:shape>
          <o:OLEObject Type="Embed" ProgID="Visio.Drawing.15" ShapeID="_x0000_i1028" DrawAspect="Content" ObjectID="_1659791722" r:id="rId25"/>
        </w:object>
      </w:r>
      <w:r>
        <w:object w:dxaOrig="13621" w:dyaOrig="3205" w14:anchorId="3C221396">
          <v:shape id="_x0000_i1029" type="#_x0000_t75" style="width:333.85pt;height:79.3pt" o:ole="">
            <v:imagedata r:id="rId26" o:title=""/>
          </v:shape>
          <o:OLEObject Type="Embed" ProgID="Visio.Drawing.15" ShapeID="_x0000_i1029" DrawAspect="Content" ObjectID="_1659791723"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lastRenderedPageBreak/>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w:t>
            </w:r>
            <w:proofErr w:type="spellStart"/>
            <w:r w:rsidRPr="0082687C">
              <w:t>DataToUL</w:t>
            </w:r>
            <w:proofErr w:type="spellEnd"/>
            <w:r w:rsidRPr="0082687C">
              <w:t>-ACK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w:t>
            </w:r>
            <w:proofErr w:type="spellStart"/>
            <w:r>
              <w:rPr>
                <w:rFonts w:eastAsiaTheme="minorEastAsia" w:cs="Arial"/>
              </w:rPr>
              <w:t>signaling</w:t>
            </w:r>
            <w:proofErr w:type="spellEnd"/>
            <w:r>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xml:space="preserve">. We discussed HARQ aspects of ATG in our </w:t>
            </w:r>
            <w:proofErr w:type="spellStart"/>
            <w:r>
              <w:rPr>
                <w:rFonts w:eastAsiaTheme="minorEastAsia"/>
                <w:lang w:eastAsia="zh-CN"/>
              </w:rPr>
              <w:t>TDoc</w:t>
            </w:r>
            <w:proofErr w:type="spellEnd"/>
            <w:r>
              <w:rPr>
                <w:rFonts w:eastAsiaTheme="minorEastAsia"/>
                <w:lang w:eastAsia="zh-CN"/>
              </w:rPr>
              <w:t xml:space="preserve">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lastRenderedPageBreak/>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BodyText"/>
              <w:spacing w:line="256" w:lineRule="auto"/>
              <w:rPr>
                <w:rFonts w:cs="Arial"/>
              </w:rPr>
            </w:pPr>
            <w:r>
              <w:rPr>
                <w:rFonts w:cs="Arial"/>
              </w:rPr>
              <w:t>Intel</w:t>
            </w:r>
          </w:p>
        </w:tc>
        <w:tc>
          <w:tcPr>
            <w:tcW w:w="7834" w:type="dxa"/>
          </w:tcPr>
          <w:p w14:paraId="204B66CA" w14:textId="1944635F" w:rsidR="005E422C" w:rsidRDefault="005E422C" w:rsidP="005E422C">
            <w:pPr>
              <w:pStyle w:val="BodyText"/>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77777777" w:rsidR="005E422C" w:rsidRDefault="005E422C" w:rsidP="005E422C">
            <w:pPr>
              <w:pStyle w:val="BodyText"/>
              <w:spacing w:line="256" w:lineRule="auto"/>
              <w:rPr>
                <w:rFonts w:cs="Arial"/>
              </w:rPr>
            </w:pPr>
          </w:p>
        </w:tc>
        <w:tc>
          <w:tcPr>
            <w:tcW w:w="7834" w:type="dxa"/>
          </w:tcPr>
          <w:p w14:paraId="323C8FEA" w14:textId="77777777" w:rsidR="005E422C" w:rsidRDefault="005E422C" w:rsidP="005E422C">
            <w:pPr>
              <w:pStyle w:val="BodyText"/>
              <w:spacing w:line="256" w:lineRule="auto"/>
              <w:rPr>
                <w:rFonts w:cs="Arial"/>
              </w:rPr>
            </w:pPr>
          </w:p>
        </w:tc>
      </w:tr>
      <w:tr w:rsidR="005E422C" w14:paraId="3E39D81A" w14:textId="77777777" w:rsidTr="00376D01">
        <w:tc>
          <w:tcPr>
            <w:tcW w:w="1795" w:type="dxa"/>
          </w:tcPr>
          <w:p w14:paraId="70652005" w14:textId="77777777" w:rsidR="005E422C" w:rsidRDefault="005E422C" w:rsidP="005E422C">
            <w:pPr>
              <w:pStyle w:val="BodyText"/>
              <w:spacing w:line="256" w:lineRule="auto"/>
              <w:rPr>
                <w:rFonts w:cs="Arial"/>
              </w:rPr>
            </w:pPr>
          </w:p>
        </w:tc>
        <w:tc>
          <w:tcPr>
            <w:tcW w:w="7834" w:type="dxa"/>
          </w:tcPr>
          <w:p w14:paraId="728A49B0" w14:textId="77777777" w:rsidR="005E422C" w:rsidRDefault="005E422C" w:rsidP="005E422C">
            <w:pPr>
              <w:pStyle w:val="BodyText"/>
              <w:spacing w:line="256" w:lineRule="auto"/>
              <w:rPr>
                <w:rFonts w:cs="Arial"/>
              </w:rPr>
            </w:pPr>
          </w:p>
        </w:tc>
      </w:tr>
      <w:tr w:rsidR="005E422C" w14:paraId="0566BBEB" w14:textId="77777777" w:rsidTr="00376D01">
        <w:tc>
          <w:tcPr>
            <w:tcW w:w="1795" w:type="dxa"/>
          </w:tcPr>
          <w:p w14:paraId="4C243E54" w14:textId="77777777" w:rsidR="005E422C" w:rsidRDefault="005E422C" w:rsidP="005E422C">
            <w:pPr>
              <w:pStyle w:val="BodyText"/>
              <w:spacing w:line="256" w:lineRule="auto"/>
              <w:rPr>
                <w:rFonts w:cs="Arial"/>
              </w:rPr>
            </w:pPr>
          </w:p>
        </w:tc>
        <w:tc>
          <w:tcPr>
            <w:tcW w:w="7834" w:type="dxa"/>
          </w:tcPr>
          <w:p w14:paraId="2577F109" w14:textId="77777777" w:rsidR="005E422C" w:rsidRDefault="005E422C" w:rsidP="005E422C">
            <w:pPr>
              <w:pStyle w:val="BodyText"/>
              <w:spacing w:line="256" w:lineRule="auto"/>
              <w:rPr>
                <w:rFonts w:cs="Arial"/>
              </w:rPr>
            </w:pPr>
          </w:p>
        </w:tc>
      </w:tr>
      <w:tr w:rsidR="005E422C" w14:paraId="25A750CB" w14:textId="77777777" w:rsidTr="00376D01">
        <w:tc>
          <w:tcPr>
            <w:tcW w:w="1795" w:type="dxa"/>
          </w:tcPr>
          <w:p w14:paraId="5143CB16" w14:textId="77777777" w:rsidR="005E422C" w:rsidRDefault="005E422C" w:rsidP="005E422C">
            <w:pPr>
              <w:pStyle w:val="BodyText"/>
              <w:spacing w:line="256" w:lineRule="auto"/>
              <w:rPr>
                <w:rFonts w:cs="Arial"/>
              </w:rPr>
            </w:pPr>
          </w:p>
        </w:tc>
        <w:tc>
          <w:tcPr>
            <w:tcW w:w="7834" w:type="dxa"/>
          </w:tcPr>
          <w:p w14:paraId="30D2E4FB" w14:textId="77777777" w:rsidR="005E422C" w:rsidRDefault="005E422C" w:rsidP="005E422C">
            <w:pPr>
              <w:pStyle w:val="BodyText"/>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711686F4" w14:textId="77777777" w:rsidR="009A4A21" w:rsidRDefault="009A4A21" w:rsidP="009A4A21">
      <w:pPr>
        <w:pStyle w:val="Header"/>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Header"/>
        <w:tabs>
          <w:tab w:val="left" w:pos="666"/>
        </w:tabs>
        <w:spacing w:after="120"/>
        <w:ind w:right="-57"/>
        <w:jc w:val="both"/>
        <w:rPr>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lastRenderedPageBreak/>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users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 xml:space="preserve">In case of moving cell deployment where the HO is frequent, the recurrent  user plane data transfer interruption may cause a bad user experience in time critical data communication like </w:t>
            </w:r>
            <w:proofErr w:type="spellStart"/>
            <w:r>
              <w:t>VoNR</w:t>
            </w:r>
            <w:proofErr w:type="spellEnd"/>
            <w:r>
              <w:t xml:space="preserve">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 xml:space="preserve">Although having multiple beams per cell and using beam management can mitigate the higher HO Rate on Earth-moving cell. This approach should not be considered </w:t>
            </w:r>
            <w:r>
              <w:lastRenderedPageBreak/>
              <w:t>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4695708E" w14:textId="77777777" w:rsidR="00EA24E0" w:rsidRDefault="00EA24E0" w:rsidP="00594A63">
            <w:pPr>
              <w:pStyle w:val="ListParagraph"/>
              <w:numPr>
                <w:ilvl w:val="0"/>
                <w:numId w:val="3"/>
              </w:numPr>
            </w:pPr>
            <w:r>
              <w:t xml:space="preserve">Observation 2: The </w:t>
            </w:r>
            <w:proofErr w:type="spellStart"/>
            <w:r>
              <w:t>gNB</w:t>
            </w:r>
            <w:proofErr w:type="spellEnd"/>
            <w:r>
              <w:t xml:space="preserve">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lastRenderedPageBreak/>
              <w:t xml:space="preserve">Proposal 11: RAN1 to define at least one GNSS accuracy model in 3D space and with time </w:t>
            </w:r>
            <w:proofErr w:type="spellStart"/>
            <w:r>
              <w:t>varing</w:t>
            </w:r>
            <w:proofErr w:type="spellEnd"/>
            <w:r>
              <w:t xml:space="preserve">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proofErr w:type="spellStart"/>
            <w:r>
              <w:rPr>
                <w:rFonts w:cs="Arial"/>
              </w:rPr>
              <w:lastRenderedPageBreak/>
              <w:t>Nomor</w:t>
            </w:r>
            <w:proofErr w:type="spellEnd"/>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But,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 xml:space="preserve">he error model used to estimate the GNSS-assisted information accuracy should consider </w:t>
      </w:r>
      <w:r w:rsidRPr="00A51CE0">
        <w:lastRenderedPageBreak/>
        <w:t>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w:t>
            </w:r>
            <w:proofErr w:type="spellStart"/>
            <w:r>
              <w:t>gNB</w:t>
            </w:r>
            <w:proofErr w:type="spellEnd"/>
            <w:r>
              <w:t>.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BodyText"/>
              <w:spacing w:line="256" w:lineRule="auto"/>
              <w:rPr>
                <w:rFonts w:cs="Arial"/>
              </w:rPr>
            </w:pPr>
            <w:r>
              <w:rPr>
                <w:rFonts w:cs="Arial"/>
              </w:rPr>
              <w:t>Intel</w:t>
            </w:r>
          </w:p>
        </w:tc>
        <w:tc>
          <w:tcPr>
            <w:tcW w:w="7834" w:type="dxa"/>
          </w:tcPr>
          <w:p w14:paraId="33B0B9AC" w14:textId="7BA10757" w:rsidR="006D29B9" w:rsidRDefault="006D29B9" w:rsidP="006D29B9">
            <w:pPr>
              <w:pStyle w:val="BodyText"/>
              <w:spacing w:line="256" w:lineRule="auto"/>
              <w:rPr>
                <w:rFonts w:cs="Arial"/>
              </w:rPr>
            </w:pPr>
            <w:r>
              <w:rPr>
                <w:rFonts w:cs="Arial"/>
              </w:rPr>
              <w:t>Support proposal 6-1</w:t>
            </w:r>
          </w:p>
        </w:tc>
      </w:tr>
      <w:tr w:rsidR="006D29B9" w14:paraId="4E201C1E" w14:textId="77777777" w:rsidTr="00376D01">
        <w:tc>
          <w:tcPr>
            <w:tcW w:w="1795" w:type="dxa"/>
          </w:tcPr>
          <w:p w14:paraId="458E8CFC" w14:textId="77777777" w:rsidR="006D29B9" w:rsidRDefault="006D29B9" w:rsidP="006D29B9">
            <w:pPr>
              <w:pStyle w:val="BodyText"/>
              <w:spacing w:line="256" w:lineRule="auto"/>
              <w:rPr>
                <w:rFonts w:cs="Arial"/>
              </w:rPr>
            </w:pPr>
          </w:p>
        </w:tc>
        <w:tc>
          <w:tcPr>
            <w:tcW w:w="7834" w:type="dxa"/>
          </w:tcPr>
          <w:p w14:paraId="08C379B0" w14:textId="77777777" w:rsidR="006D29B9" w:rsidRDefault="006D29B9" w:rsidP="006D29B9">
            <w:pPr>
              <w:pStyle w:val="BodyText"/>
              <w:spacing w:line="256" w:lineRule="auto"/>
              <w:rPr>
                <w:rFonts w:cs="Arial"/>
              </w:rPr>
            </w:pPr>
          </w:p>
        </w:tc>
      </w:tr>
      <w:tr w:rsidR="006D29B9" w14:paraId="2E249B00" w14:textId="77777777" w:rsidTr="00376D01">
        <w:tc>
          <w:tcPr>
            <w:tcW w:w="1795" w:type="dxa"/>
          </w:tcPr>
          <w:p w14:paraId="40E39A2B" w14:textId="77777777" w:rsidR="006D29B9" w:rsidRDefault="006D29B9" w:rsidP="006D29B9">
            <w:pPr>
              <w:pStyle w:val="BodyText"/>
              <w:spacing w:line="256" w:lineRule="auto"/>
              <w:rPr>
                <w:rFonts w:cs="Arial"/>
              </w:rPr>
            </w:pPr>
          </w:p>
        </w:tc>
        <w:tc>
          <w:tcPr>
            <w:tcW w:w="7834" w:type="dxa"/>
          </w:tcPr>
          <w:p w14:paraId="769E3357" w14:textId="77777777" w:rsidR="006D29B9" w:rsidRDefault="006D29B9" w:rsidP="006D29B9">
            <w:pPr>
              <w:pStyle w:val="BodyText"/>
              <w:spacing w:line="256" w:lineRule="auto"/>
              <w:rPr>
                <w:rFonts w:cs="Arial"/>
              </w:rPr>
            </w:pPr>
          </w:p>
        </w:tc>
      </w:tr>
      <w:tr w:rsidR="006D29B9" w14:paraId="0B73CD1D" w14:textId="77777777" w:rsidTr="00376D01">
        <w:tc>
          <w:tcPr>
            <w:tcW w:w="1795" w:type="dxa"/>
          </w:tcPr>
          <w:p w14:paraId="4D5B155B" w14:textId="77777777" w:rsidR="006D29B9" w:rsidRDefault="006D29B9" w:rsidP="006D29B9">
            <w:pPr>
              <w:pStyle w:val="BodyText"/>
              <w:spacing w:line="256" w:lineRule="auto"/>
              <w:rPr>
                <w:rFonts w:cs="Arial"/>
              </w:rPr>
            </w:pPr>
          </w:p>
        </w:tc>
        <w:tc>
          <w:tcPr>
            <w:tcW w:w="7834" w:type="dxa"/>
          </w:tcPr>
          <w:p w14:paraId="3A4F3367" w14:textId="77777777" w:rsidR="006D29B9" w:rsidRDefault="006D29B9" w:rsidP="006D29B9">
            <w:pPr>
              <w:pStyle w:val="BodyText"/>
              <w:spacing w:line="256" w:lineRule="auto"/>
              <w:rPr>
                <w:rFonts w:cs="Arial"/>
              </w:rPr>
            </w:pPr>
          </w:p>
        </w:tc>
      </w:tr>
      <w:tr w:rsidR="006D29B9" w14:paraId="3E04B473" w14:textId="77777777" w:rsidTr="00376D01">
        <w:tc>
          <w:tcPr>
            <w:tcW w:w="1795" w:type="dxa"/>
          </w:tcPr>
          <w:p w14:paraId="74908B14" w14:textId="77777777" w:rsidR="006D29B9" w:rsidRDefault="006D29B9" w:rsidP="006D29B9">
            <w:pPr>
              <w:pStyle w:val="BodyText"/>
              <w:spacing w:line="256" w:lineRule="auto"/>
              <w:rPr>
                <w:rFonts w:cs="Arial"/>
              </w:rPr>
            </w:pPr>
          </w:p>
        </w:tc>
        <w:tc>
          <w:tcPr>
            <w:tcW w:w="7834" w:type="dxa"/>
          </w:tcPr>
          <w:p w14:paraId="68346B49" w14:textId="77777777" w:rsidR="006D29B9" w:rsidRDefault="006D29B9" w:rsidP="006D29B9">
            <w:pPr>
              <w:pStyle w:val="BodyText"/>
              <w:spacing w:line="256" w:lineRule="auto"/>
              <w:rPr>
                <w:rFonts w:cs="Arial"/>
              </w:rPr>
            </w:pPr>
          </w:p>
        </w:tc>
      </w:tr>
    </w:tbl>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lastRenderedPageBreak/>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435D1" w14:textId="77777777" w:rsidR="00A35ED8" w:rsidRDefault="00A35ED8">
      <w:r>
        <w:separator/>
      </w:r>
    </w:p>
  </w:endnote>
  <w:endnote w:type="continuationSeparator" w:id="0">
    <w:p w14:paraId="4B3DA7E7" w14:textId="77777777" w:rsidR="00A35ED8" w:rsidRDefault="00A3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B720D" w14:textId="77777777" w:rsidR="00A35ED8" w:rsidRDefault="00A35ED8">
      <w:r>
        <w:separator/>
      </w:r>
    </w:p>
  </w:footnote>
  <w:footnote w:type="continuationSeparator" w:id="0">
    <w:p w14:paraId="6E253E08" w14:textId="77777777" w:rsidR="00A35ED8" w:rsidRDefault="00A35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5CD6"/>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4F43"/>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F1921B50-5989-4814-9003-03E0F17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7.png"/><Relationship Id="rId27" Type="http://schemas.openxmlformats.org/officeDocument/2006/relationships/package" Target="embeddings/Microsoft_Visio_Drawing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FD8BB3EB-565F-4828-BC78-7C665A14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43</Pages>
  <Words>18773</Words>
  <Characters>99500</Characters>
  <Application>Microsoft Office Word</Application>
  <DocSecurity>0</DocSecurity>
  <Lines>829</Lines>
  <Paragraphs>236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118037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Hazhir Shokri Razaghi</cp:lastModifiedBy>
  <cp:revision>9</cp:revision>
  <cp:lastPrinted>2017-11-03T15:53:00Z</cp:lastPrinted>
  <dcterms:created xsi:type="dcterms:W3CDTF">2020-08-24T13:17:00Z</dcterms:created>
  <dcterms:modified xsi:type="dcterms:W3CDTF">2020-08-24T14:28:00Z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