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101398">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A14E6D"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77777777" w:rsidR="00A14E6D" w:rsidRDefault="00A14E6D" w:rsidP="00D3220D">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77777777" w:rsidR="00A14E6D" w:rsidRDefault="00A14E6D" w:rsidP="00D3220D">
            <w:pPr>
              <w:snapToGrid w:val="0"/>
              <w:rPr>
                <w:rFonts w:eastAsia="MS Mincho"/>
                <w:lang w:eastAsia="zh-CN"/>
              </w:rPr>
            </w:pP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lastRenderedPageBreak/>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884CAD">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A14E6D"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77777777" w:rsidR="00A14E6D" w:rsidRDefault="00A14E6D" w:rsidP="00D3220D">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77777777" w:rsidR="00A14E6D" w:rsidRDefault="00A14E6D" w:rsidP="00D3220D">
            <w:pPr>
              <w:snapToGrid w:val="0"/>
              <w:rPr>
                <w:rFonts w:eastAsia="MS Mincho"/>
                <w:lang w:eastAsia="zh-CN"/>
              </w:rPr>
            </w:pPr>
          </w:p>
        </w:tc>
      </w:tr>
    </w:tbl>
    <w:p w14:paraId="4AD04BC6" w14:textId="77777777" w:rsidR="00A30CC9" w:rsidRPr="00F627F1"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lastRenderedPageBreak/>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A14E6D"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7777777" w:rsidR="00A14E6D" w:rsidRDefault="00A14E6D" w:rsidP="00D3220D">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77777777" w:rsidR="00A14E6D" w:rsidRDefault="00A14E6D" w:rsidP="00D3220D">
            <w:pPr>
              <w:snapToGrid w:val="0"/>
              <w:rPr>
                <w:rFonts w:eastAsia="MS Mincho"/>
                <w:lang w:eastAsia="zh-CN"/>
              </w:rPr>
            </w:pP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lastRenderedPageBreak/>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1167EC">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A14E6D"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77777777" w:rsidR="00A14E6D" w:rsidRDefault="00A14E6D" w:rsidP="00D3220D">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77777777" w:rsidR="00A14E6D" w:rsidRDefault="00A14E6D" w:rsidP="00D3220D">
            <w:pPr>
              <w:snapToGrid w:val="0"/>
              <w:rPr>
                <w:rFonts w:eastAsia="MS Mincho"/>
                <w:lang w:eastAsia="zh-CN"/>
              </w:rPr>
            </w:pP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9E41A9">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bookmarkStart w:id="2" w:name="_GoBack"/>
            <w:bookmarkEnd w:id="2"/>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7777777" w:rsidR="00A14E6D" w:rsidRDefault="00A14E6D" w:rsidP="00D3220D">
            <w:pPr>
              <w:jc w:val="center"/>
              <w:rPr>
                <w:rFonts w:eastAsia="MS Mincho"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77777777" w:rsidR="00A14E6D" w:rsidRDefault="00A14E6D" w:rsidP="00D3220D">
            <w:pPr>
              <w:snapToGrid w:val="0"/>
              <w:rPr>
                <w:rFonts w:eastAsia="MS Mincho"/>
                <w:lang w:eastAsia="zh-CN"/>
              </w:rPr>
            </w:pPr>
          </w:p>
        </w:tc>
      </w:tr>
    </w:tbl>
    <w:p w14:paraId="00F000C0" w14:textId="77777777" w:rsidR="00A30CC9" w:rsidRPr="00960FC5"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lastRenderedPageBreak/>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lastRenderedPageBreak/>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lastRenderedPageBreak/>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lastRenderedPageBreak/>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lastRenderedPageBreak/>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lastRenderedPageBreak/>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lastRenderedPageBreak/>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lastRenderedPageBreak/>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A651E" w14:textId="77777777" w:rsidR="00193E4B" w:rsidRDefault="00193E4B">
      <w:pPr>
        <w:spacing w:after="0"/>
      </w:pPr>
      <w:r>
        <w:separator/>
      </w:r>
    </w:p>
  </w:endnote>
  <w:endnote w:type="continuationSeparator" w:id="0">
    <w:p w14:paraId="1C8DE4BC" w14:textId="77777777" w:rsidR="00193E4B" w:rsidRDefault="00193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4456E9" w:rsidRDefault="0044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4456E9" w:rsidRDefault="004456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4456E9" w:rsidRDefault="004456E9">
    <w:pPr>
      <w:pStyle w:val="Footer"/>
      <w:ind w:right="360"/>
    </w:pPr>
    <w:r>
      <w:rPr>
        <w:rStyle w:val="PageNumber"/>
      </w:rPr>
      <w:fldChar w:fldCharType="begin"/>
    </w:r>
    <w:r>
      <w:rPr>
        <w:rStyle w:val="PageNumber"/>
      </w:rPr>
      <w:instrText xml:space="preserve"> PAGE </w:instrText>
    </w:r>
    <w:r>
      <w:rPr>
        <w:rStyle w:val="PageNumber"/>
      </w:rPr>
      <w:fldChar w:fldCharType="separate"/>
    </w:r>
    <w:r w:rsidR="00A14E6D">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4E6D">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6195" w14:textId="77777777" w:rsidR="005109C7" w:rsidRDefault="00510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3EBEC" w14:textId="77777777" w:rsidR="00193E4B" w:rsidRDefault="00193E4B">
      <w:pPr>
        <w:spacing w:after="0"/>
      </w:pPr>
      <w:r>
        <w:separator/>
      </w:r>
    </w:p>
  </w:footnote>
  <w:footnote w:type="continuationSeparator" w:id="0">
    <w:p w14:paraId="7F3883BA" w14:textId="77777777" w:rsidR="00193E4B" w:rsidRDefault="00193E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C3DE4" w14:textId="77777777" w:rsidR="005109C7" w:rsidRDefault="00510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92C2" w14:textId="77777777" w:rsidR="005109C7" w:rsidRDefault="00510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6085D3-1ED2-4FF8-941A-58B83B2A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29</Pages>
  <Words>11939</Words>
  <Characters>68053</Characters>
  <Application>Microsoft Office Word</Application>
  <DocSecurity>0</DocSecurity>
  <Lines>567</Lines>
  <Paragraphs>159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Gilles Charbit</cp:lastModifiedBy>
  <cp:revision>3</cp:revision>
  <cp:lastPrinted>2011-11-09T07:49:00Z</cp:lastPrinted>
  <dcterms:created xsi:type="dcterms:W3CDTF">2020-08-24T10:01:00Z</dcterms:created>
  <dcterms:modified xsi:type="dcterms:W3CDTF">2020-08-24T10:18:00Z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