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f0"/>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f0"/>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f0"/>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4456E9" w:rsidRPr="002C0E93" w:rsidRDefault="004456E9" w:rsidP="009F1144">
                            <w:pPr>
                              <w:pStyle w:val="28"/>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4456E9" w:rsidRPr="002C0E93" w:rsidRDefault="004456E9" w:rsidP="009F1144">
                      <w:pPr>
                        <w:pStyle w:val="28"/>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f0"/>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f0"/>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f0"/>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ＭＳ 明朝"/>
                <w:lang w:val="en-US" w:eastAsia="ja-JP"/>
              </w:rPr>
            </w:pPr>
            <w:r>
              <w:rPr>
                <w:rFonts w:eastAsia="ＭＳ 明朝"/>
              </w:rPr>
              <w:t>We support proposal 1.</w:t>
            </w:r>
          </w:p>
          <w:p w14:paraId="75D1828D" w14:textId="77777777" w:rsidR="00922D1C" w:rsidRDefault="00922D1C" w:rsidP="00922D1C">
            <w:pPr>
              <w:snapToGrid w:val="0"/>
              <w:ind w:left="360"/>
              <w:rPr>
                <w:rFonts w:eastAsia="ＭＳ 明朝"/>
              </w:rPr>
            </w:pPr>
            <w:r>
              <w:rPr>
                <w:rFonts w:eastAsia="ＭＳ 明朝"/>
              </w:rPr>
              <w:t>We evaluated with SLS using the agreed assumptions in R1-200</w:t>
            </w:r>
            <w:r>
              <w:rPr>
                <w:lang w:eastAsia="zh-CN"/>
              </w:rPr>
              <w:t>6327</w:t>
            </w:r>
            <w:r>
              <w:rPr>
                <w:rFonts w:eastAsia="ＭＳ 明朝"/>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ＭＳ 明朝"/>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ＭＳ 明朝"/>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ＭＳ 明朝"/>
              </w:rPr>
              <w:t>Regarding the 2</w:t>
            </w:r>
            <w:r>
              <w:rPr>
                <w:rFonts w:eastAsia="ＭＳ 明朝"/>
                <w:vertAlign w:val="superscript"/>
              </w:rPr>
              <w:t>nd</w:t>
            </w:r>
            <w:r>
              <w:rPr>
                <w:rFonts w:eastAsia="ＭＳ 明朝"/>
              </w:rPr>
              <w:t xml:space="preserve"> FFS point in Proposal 1, additional restriction due to UE capability would not be needed because it is basically up to UE </w:t>
            </w:r>
            <w:r>
              <w:rPr>
                <w:rFonts w:eastAsia="ＭＳ 明朝"/>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ＭＳ 明朝" w:cs="Arial"/>
                <w:lang w:eastAsia="ja-JP"/>
              </w:rPr>
            </w:pPr>
            <w:r>
              <w:rPr>
                <w:rFonts w:eastAsia="ＭＳ 明朝"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ＭＳ 明朝"/>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ＭＳ 明朝"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indication </w:t>
            </w:r>
            <w:proofErr w:type="gramStart"/>
            <w:r>
              <w:rPr>
                <w:rFonts w:eastAsiaTheme="minorEastAsia"/>
                <w:lang w:eastAsia="zh-CN"/>
              </w:rPr>
              <w:t>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ＭＳ 明朝"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ＭＳ 明朝" w:cs="Arial"/>
                <w:color w:val="000000" w:themeColor="text1"/>
                <w:lang w:eastAsia="ja-JP"/>
              </w:rPr>
            </w:pPr>
            <w:proofErr w:type="spellStart"/>
            <w:r w:rsidRPr="009E387B">
              <w:rPr>
                <w:rFonts w:eastAsia="ＭＳ 明朝" w:cs="Arial"/>
                <w:lang w:eastAsia="ja-JP"/>
              </w:rPr>
              <w:t>Nomor</w:t>
            </w:r>
            <w:proofErr w:type="spellEnd"/>
            <w:r w:rsidRPr="009E387B">
              <w:rPr>
                <w:rFonts w:eastAsia="ＭＳ 明朝"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ＭＳ 明朝" w:cs="Arial"/>
                <w:lang w:eastAsia="ja-JP"/>
              </w:rPr>
            </w:pPr>
            <w:r>
              <w:rPr>
                <w:rFonts w:eastAsia="ＭＳ 明朝"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ＭＳ 明朝"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aff0"/>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aff0"/>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aff0"/>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ＭＳ 明朝" w:cs="Arial" w:hint="eastAsia"/>
                <w:lang w:eastAsia="ja-JP"/>
              </w:rPr>
              <w:lastRenderedPageBreak/>
              <w:t>O</w:t>
            </w:r>
            <w:r>
              <w:rPr>
                <w:rFonts w:eastAsia="ＭＳ 明朝"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ＭＳ 明朝" w:hint="eastAsia"/>
                <w:lang w:eastAsia="ja-JP"/>
              </w:rPr>
              <w:t>S</w:t>
            </w:r>
            <w:r>
              <w:rPr>
                <w:rFonts w:eastAsia="ＭＳ 明朝"/>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ＭＳ 明朝"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ＭＳ 明朝"/>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 xml:space="preserve">Mechanism for disabling/enabling HARQ </w:t>
      </w:r>
      <w:r w:rsidR="00B85C6F">
        <w:rPr>
          <w:rFonts w:ascii="Times New Roman" w:eastAsia="ＭＳ ゴシック" w:hAnsi="Times New Roman"/>
          <w:b/>
          <w:kern w:val="28"/>
          <w:sz w:val="24"/>
          <w:lang w:val="en-US" w:eastAsia="ja-JP"/>
        </w:rPr>
        <w:tab/>
      </w:r>
      <w:r>
        <w:rPr>
          <w:rFonts w:ascii="Times New Roman" w:eastAsia="ＭＳ ゴシック"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ＭＳ 明朝"/>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ＭＳ 明朝" w:cs="Arial"/>
                <w:lang w:eastAsia="zh-CN"/>
              </w:rPr>
              <w:t>Nomor</w:t>
            </w:r>
            <w:proofErr w:type="spellEnd"/>
            <w:r>
              <w:rPr>
                <w:rFonts w:eastAsia="ＭＳ 明朝"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ＭＳ 明朝"/>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ＭＳ 明朝" w:cs="Arial"/>
                <w:lang w:eastAsia="zh-CN"/>
              </w:rPr>
            </w:pPr>
            <w:r>
              <w:rPr>
                <w:rFonts w:eastAsia="ＭＳ 明朝"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ＭＳ 明朝"/>
                <w:lang w:eastAsia="zh-CN"/>
              </w:rPr>
            </w:pPr>
            <w:r>
              <w:rPr>
                <w:rFonts w:eastAsia="ＭＳ 明朝"/>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ＭＳ 明朝"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ＭＳ 明朝"/>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ＭＳ 明朝"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ＭＳ 明朝"/>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w:t>
            </w:r>
            <w:proofErr w:type="spellStart"/>
            <w:r>
              <w:rPr>
                <w:rFonts w:eastAsiaTheme="minorEastAsia"/>
                <w:lang w:eastAsia="zh-CN"/>
              </w:rPr>
              <w:t>gNB</w:t>
            </w:r>
            <w:proofErr w:type="spellEnd"/>
            <w:r>
              <w:rPr>
                <w:rFonts w:eastAsiaTheme="minorEastAsia"/>
                <w:lang w:eastAsia="zh-CN"/>
              </w:rPr>
              <w:t xml:space="preserve">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ＭＳ 明朝" w:cs="Arial"/>
                <w:lang w:eastAsia="zh-CN"/>
              </w:rPr>
              <w:t>Nomor</w:t>
            </w:r>
            <w:proofErr w:type="spellEnd"/>
            <w:r>
              <w:rPr>
                <w:rFonts w:eastAsia="ＭＳ 明朝"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ＭＳ 明朝"/>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ＭＳ 明朝" w:cs="Arial"/>
                <w:lang w:eastAsia="zh-CN"/>
              </w:rPr>
            </w:pPr>
            <w:r>
              <w:rPr>
                <w:rFonts w:eastAsia="ＭＳ 明朝"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ＭＳ 明朝"/>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ＭＳ 明朝"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ＭＳ 明朝"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ＭＳ 明朝"/>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ＭＳ 明朝"/>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ＭＳ 明朝"/>
                <w:lang w:eastAsia="zh-CN"/>
              </w:rPr>
            </w:pPr>
            <w:r>
              <w:rPr>
                <w:rFonts w:eastAsia="ＭＳ 明朝"/>
                <w:lang w:eastAsia="zh-CN"/>
              </w:rPr>
              <w:t xml:space="preserve">However, </w:t>
            </w:r>
            <w:r>
              <w:rPr>
                <w:rFonts w:eastAsia="Malgun Gothic"/>
                <w:lang w:eastAsia="ko-KR"/>
              </w:rPr>
              <w:t>the contents of the parameters should be discussed further. A</w:t>
            </w:r>
            <w:r>
              <w:rPr>
                <w:rFonts w:eastAsia="ＭＳ 明朝"/>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ＭＳ 明朝"/>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ＭＳ 明朝"/>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ＭＳ 明朝"/>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ＭＳ 明朝" w:cs="Arial"/>
                <w:lang w:eastAsia="zh-CN"/>
              </w:rPr>
              <w:t>Nomor</w:t>
            </w:r>
            <w:proofErr w:type="spellEnd"/>
            <w:r>
              <w:rPr>
                <w:rFonts w:eastAsia="ＭＳ 明朝"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ＭＳ 明朝"/>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ＭＳ 明朝" w:cs="Arial"/>
                <w:lang w:eastAsia="zh-CN"/>
              </w:rPr>
            </w:pPr>
            <w:r>
              <w:rPr>
                <w:rFonts w:eastAsia="ＭＳ 明朝"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ＭＳ 明朝"/>
                <w:lang w:eastAsia="zh-CN"/>
              </w:rPr>
            </w:pPr>
            <w:r>
              <w:rPr>
                <w:rFonts w:eastAsia="ＭＳ 明朝"/>
                <w:lang w:eastAsia="zh-CN"/>
              </w:rPr>
              <w:t>Support Proposal</w:t>
            </w:r>
            <w:r w:rsidR="00924F7D">
              <w:rPr>
                <w:rFonts w:eastAsia="ＭＳ 明朝"/>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ＭＳ 明朝"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ＭＳ 明朝"/>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ＭＳ 明朝"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ＭＳ 明朝"/>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 xml:space="preserve">Enhancement on the </w:t>
      </w:r>
      <w:r w:rsidR="006343CD">
        <w:rPr>
          <w:rFonts w:ascii="Times New Roman" w:eastAsia="ＭＳ ゴシック" w:hAnsi="Times New Roman"/>
          <w:b/>
          <w:kern w:val="28"/>
          <w:sz w:val="24"/>
          <w:lang w:val="en-US" w:eastAsia="ja-JP"/>
        </w:rPr>
        <w:t>HARQ-</w:t>
      </w:r>
      <w:r w:rsidR="00D84453">
        <w:rPr>
          <w:rFonts w:ascii="Times New Roman" w:eastAsia="ＭＳ ゴシック" w:hAnsi="Times New Roman"/>
          <w:b/>
          <w:kern w:val="28"/>
          <w:sz w:val="24"/>
          <w:lang w:val="en-US" w:eastAsia="ja-JP"/>
        </w:rPr>
        <w:t>ACK codebook</w:t>
      </w:r>
    </w:p>
    <w:p w14:paraId="34EDDB1B" w14:textId="448C6590" w:rsidR="00FE2A35" w:rsidRDefault="009D742E" w:rsidP="00C111D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ＭＳ 明朝"/>
                <w:lang w:eastAsia="zh-CN"/>
              </w:rPr>
              <w:t xml:space="preserve">We prefer a straightforward solution (e.g. insert NACK for type1 and ignore </w:t>
            </w:r>
            <w:r>
              <w:rPr>
                <w:rFonts w:eastAsia="ＭＳ 明朝"/>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ＭＳ 明朝"/>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ＭＳ 明朝" w:cs="Arial"/>
                <w:lang w:eastAsia="zh-CN"/>
              </w:rPr>
              <w:t>Nomor</w:t>
            </w:r>
            <w:proofErr w:type="spellEnd"/>
            <w:r>
              <w:rPr>
                <w:rFonts w:eastAsia="ＭＳ 明朝"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ＭＳ 明朝"/>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ＭＳ 明朝" w:cs="Arial"/>
                <w:lang w:eastAsia="zh-CN"/>
              </w:rPr>
            </w:pPr>
            <w:r>
              <w:rPr>
                <w:rFonts w:eastAsia="ＭＳ 明朝"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ＭＳ 明朝"/>
                <w:lang w:eastAsia="zh-CN"/>
              </w:rPr>
            </w:pPr>
            <w:r>
              <w:rPr>
                <w:rFonts w:eastAsia="ＭＳ 明朝"/>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ＭＳ 明朝"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ＭＳ 明朝"/>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ＭＳ 明朝"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ＭＳ 明朝"/>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lastRenderedPageBreak/>
        <w:t xml:space="preserve">Enhancement on the </w:t>
      </w:r>
      <w:r w:rsidR="00E15DAC">
        <w:rPr>
          <w:rFonts w:ascii="Times New Roman" w:eastAsia="ＭＳ ゴシック" w:hAnsi="Times New Roman"/>
          <w:b/>
          <w:kern w:val="28"/>
          <w:sz w:val="24"/>
          <w:lang w:val="en-US" w:eastAsia="ja-JP"/>
        </w:rPr>
        <w:t>transmission</w:t>
      </w:r>
    </w:p>
    <w:p w14:paraId="25FE1434" w14:textId="11AC01EF" w:rsidR="00D769F8" w:rsidRDefault="00E15DAC" w:rsidP="00CC5CDE">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e"/>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ＭＳ 明朝"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ＭＳ 明朝"/>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f0"/>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f0"/>
              <w:snapToGrid w:val="0"/>
              <w:ind w:left="717"/>
              <w:rPr>
                <w:rFonts w:eastAsiaTheme="minorEastAsia"/>
                <w:lang w:eastAsia="zh-CN"/>
              </w:rPr>
            </w:pPr>
            <w:r w:rsidRPr="00730597">
              <w:rPr>
                <w:rFonts w:ascii="Times New Roman" w:eastAsiaTheme="minorEastAsia" w:hAnsi="Times New Roman"/>
                <w:sz w:val="20"/>
                <w:szCs w:val="20"/>
                <w:lang w:eastAsia="zh-CN"/>
              </w:rPr>
              <w:t xml:space="preserve">For handling the larger RTT for ACK/NACK feedback, enhancement as pre-active feedback [Huawei] is proposed. And in this way, the ACK/NACK will be feedback to </w:t>
            </w:r>
            <w:proofErr w:type="spellStart"/>
            <w:r w:rsidRPr="00730597">
              <w:rPr>
                <w:rFonts w:ascii="Times New Roman" w:eastAsiaTheme="minorEastAsia" w:hAnsi="Times New Roman"/>
                <w:sz w:val="20"/>
                <w:szCs w:val="20"/>
                <w:lang w:eastAsia="zh-CN"/>
              </w:rPr>
              <w:t>gNB</w:t>
            </w:r>
            <w:proofErr w:type="spellEnd"/>
            <w:r w:rsidRPr="00730597">
              <w:rPr>
                <w:rFonts w:ascii="Times New Roman" w:eastAsiaTheme="minorEastAsia" w:hAnsi="Times New Roman"/>
                <w:sz w:val="20"/>
                <w:szCs w:val="20"/>
                <w:lang w:eastAsia="zh-CN"/>
              </w:rPr>
              <w:t xml:space="preserve"> prior to the reception of re-transmission.</w:t>
            </w:r>
          </w:p>
          <w:p w14:paraId="3056C2A2" w14:textId="77777777" w:rsidR="00782D5E" w:rsidRDefault="00782D5E" w:rsidP="00782D5E">
            <w:pPr>
              <w:pStyle w:val="aff0"/>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ＭＳ 明朝" w:cs="Arial"/>
                <w:lang w:eastAsia="zh-CN"/>
              </w:rPr>
              <w:t>Nomor</w:t>
            </w:r>
            <w:proofErr w:type="spellEnd"/>
            <w:r>
              <w:rPr>
                <w:rFonts w:eastAsia="ＭＳ 明朝"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ＭＳ 明朝"/>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ＭＳ 明朝" w:cs="Arial"/>
                <w:lang w:eastAsia="zh-CN"/>
              </w:rPr>
            </w:pPr>
            <w:r>
              <w:rPr>
                <w:rFonts w:eastAsia="ＭＳ 明朝"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ＭＳ 明朝"/>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ＭＳ 明朝"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ＭＳ 明朝"/>
                <w:lang w:eastAsia="zh-CN"/>
              </w:rPr>
              <w:t>Support proposal 6</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Others</w:t>
      </w:r>
      <w:r w:rsidR="00116026">
        <w:rPr>
          <w:rFonts w:ascii="Times New Roman" w:eastAsia="ＭＳ ゴシック"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sidRPr="0066198A">
        <w:rPr>
          <w:rFonts w:ascii="Times New Roman" w:eastAsia="ＭＳ ゴシック"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e"/>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e"/>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ＭＳ 明朝" w:cs="Arial"/>
                <w:lang w:eastAsia="zh-CN"/>
              </w:rPr>
              <w:t>Nomor</w:t>
            </w:r>
            <w:proofErr w:type="spellEnd"/>
            <w:r>
              <w:rPr>
                <w:rFonts w:eastAsia="ＭＳ 明朝"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ＭＳ 明朝" w:cs="Arial"/>
                <w:lang w:eastAsia="zh-CN"/>
              </w:rPr>
            </w:pPr>
            <w:r>
              <w:rPr>
                <w:rFonts w:eastAsia="ＭＳ 明朝"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ＭＳ 明朝"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ＭＳ 明朝"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f0"/>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f0"/>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f0"/>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f0"/>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f0"/>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f0"/>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ＭＳ 明朝" w:cs="Arial"/>
                <w:lang w:eastAsia="zh-CN"/>
              </w:rPr>
              <w:t>Nomor</w:t>
            </w:r>
            <w:proofErr w:type="spellEnd"/>
            <w:r>
              <w:rPr>
                <w:rFonts w:eastAsia="ＭＳ 明朝"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ＭＳ 明朝" w:cs="Arial"/>
                <w:lang w:eastAsia="zh-CN"/>
              </w:rPr>
            </w:pPr>
            <w:r>
              <w:rPr>
                <w:rFonts w:eastAsia="ＭＳ 明朝" w:cs="Arial"/>
                <w:lang w:eastAsia="zh-CN"/>
              </w:rPr>
              <w:t>Q</w:t>
            </w:r>
            <w:r w:rsidR="00641A8B">
              <w:rPr>
                <w:rFonts w:eastAsia="ＭＳ 明朝"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ＭＳ 明朝"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aff0"/>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aff0"/>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aff0"/>
              <w:numPr>
                <w:ilvl w:val="0"/>
                <w:numId w:val="25"/>
              </w:numPr>
              <w:snapToGrid w:val="0"/>
              <w:rPr>
                <w:lang w:eastAsia="zh-CN"/>
              </w:rPr>
            </w:pPr>
            <w:r w:rsidRPr="00230DC7">
              <w:rPr>
                <w:rFonts w:ascii="Times New Roman" w:hAnsi="Times New Roman"/>
                <w:sz w:val="20"/>
                <w:szCs w:val="20"/>
                <w:lang w:eastAsia="zh-CN"/>
              </w:rPr>
              <w:t xml:space="preserve">Signaling by the source </w:t>
            </w:r>
            <w:proofErr w:type="spellStart"/>
            <w:r w:rsidRPr="00230DC7">
              <w:rPr>
                <w:rFonts w:ascii="Times New Roman" w:hAnsi="Times New Roman"/>
                <w:sz w:val="20"/>
                <w:szCs w:val="20"/>
                <w:lang w:eastAsia="zh-CN"/>
              </w:rPr>
              <w:t>gNB</w:t>
            </w:r>
            <w:proofErr w:type="spellEnd"/>
            <w:r w:rsidRPr="00230DC7">
              <w:rPr>
                <w:rFonts w:ascii="Times New Roman" w:hAnsi="Times New Roman"/>
                <w:sz w:val="20"/>
                <w:szCs w:val="20"/>
                <w:lang w:eastAsia="zh-CN"/>
              </w:rPr>
              <w:t xml:space="preserve">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w:t>
            </w:r>
            <w:proofErr w:type="spellStart"/>
            <w:r w:rsidRPr="00230DC7">
              <w:rPr>
                <w:rFonts w:ascii="Times New Roman" w:hAnsi="Times New Roman"/>
                <w:sz w:val="20"/>
                <w:szCs w:val="20"/>
                <w:lang w:eastAsia="zh-CN"/>
              </w:rPr>
              <w:t>gNB</w:t>
            </w:r>
            <w:proofErr w:type="spellEnd"/>
            <w:r>
              <w:rPr>
                <w:rFonts w:ascii="Times New Roman" w:hAnsi="Times New Roman"/>
                <w:sz w:val="20"/>
                <w:szCs w:val="20"/>
                <w:lang w:eastAsia="zh-CN"/>
              </w:rPr>
              <w:t xml:space="preserve">, rather than the source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ＭＳ 明朝"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Summary for the 1</w:t>
      </w:r>
      <w:r w:rsidRPr="00CE6767">
        <w:rPr>
          <w:rFonts w:ascii="Times New Roman" w:eastAsia="ＭＳ ゴシック" w:hAnsi="Times New Roman"/>
          <w:b/>
          <w:kern w:val="28"/>
          <w:sz w:val="28"/>
          <w:vertAlign w:val="superscript"/>
          <w:lang w:val="en-US" w:eastAsia="ja-JP"/>
        </w:rPr>
        <w:t>st</w:t>
      </w:r>
      <w:r>
        <w:rPr>
          <w:rFonts w:ascii="Times New Roman" w:eastAsia="ＭＳ ゴシック" w:hAnsi="Times New Roman"/>
          <w:b/>
          <w:kern w:val="28"/>
          <w:sz w:val="28"/>
          <w:lang w:val="en-US" w:eastAsia="ja-JP"/>
        </w:rPr>
        <w:t xml:space="preserve"> round discussion</w:t>
      </w:r>
    </w:p>
    <w:p w14:paraId="68F8E5BF" w14:textId="5B4E31D1"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ＭＳ ゴシック" w:hAnsi="Times New Roman"/>
          <w:b/>
          <w:kern w:val="28"/>
          <w:sz w:val="28"/>
          <w:lang w:val="en-US" w:eastAsia="ja-JP"/>
        </w:rPr>
        <w:t xml:space="preserve"> Issue 1: HARQ process number</w:t>
      </w:r>
    </w:p>
    <w:p w14:paraId="7EB2472C" w14:textId="20553163" w:rsidR="00830B79" w:rsidRPr="009E5F1E" w:rsidRDefault="00830B79" w:rsidP="00830B79">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aff0"/>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aff0"/>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aff0"/>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ae"/>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aff0"/>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aff0"/>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aff0"/>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hint="eastAsia"/>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ＭＳ 明朝" w:cstheme="minorBidi"/>
                <w:lang w:eastAsia="zh-CN"/>
              </w:rPr>
            </w:pPr>
            <w:r>
              <w:rPr>
                <w:rFonts w:eastAsia="ＭＳ 明朝"/>
                <w:lang w:eastAsia="zh-CN"/>
              </w:rPr>
              <w:t xml:space="preserve">Support updated proposal 1. On the user throughput performance for larger number of HARQ processes and HARQ disabled, we suggest </w:t>
            </w:r>
            <w:proofErr w:type="gramStart"/>
            <w:r>
              <w:rPr>
                <w:rFonts w:eastAsia="ＭＳ 明朝"/>
                <w:lang w:eastAsia="zh-CN"/>
              </w:rPr>
              <w:t>to evaluate</w:t>
            </w:r>
            <w:proofErr w:type="gramEnd"/>
            <w:r>
              <w:rPr>
                <w:rFonts w:eastAsia="ＭＳ 明朝"/>
                <w:lang w:eastAsia="zh-CN"/>
              </w:rPr>
              <w:t xml:space="preserve"> via system level simulations with the agreed assumptions in the TR. </w:t>
            </w:r>
          </w:p>
          <w:p w14:paraId="279174CC" w14:textId="56656D46" w:rsidR="00D3220D" w:rsidRDefault="00D3220D" w:rsidP="00D3220D">
            <w:pPr>
              <w:snapToGrid w:val="0"/>
              <w:rPr>
                <w:bCs/>
                <w:lang w:eastAsia="zh-CN"/>
              </w:rPr>
            </w:pPr>
            <w:r>
              <w:rPr>
                <w:rFonts w:eastAsia="ＭＳ 明朝"/>
                <w:lang w:eastAsia="zh-CN"/>
              </w:rPr>
              <w:t xml:space="preserve">Regarding the maximal HARQ processes, 32 or 64 would be reasonable for S-band. On the other hand, up to 256 should be considered for Ka-band where slot length is smaller due to larger SCS.   </w:t>
            </w:r>
          </w:p>
        </w:tc>
      </w:tr>
    </w:tbl>
    <w:p w14:paraId="4DAE37F3" w14:textId="77777777" w:rsidR="00830B79" w:rsidRPr="0025550E" w:rsidRDefault="00830B79" w:rsidP="00F90492">
      <w:pPr>
        <w:ind w:left="360"/>
        <w:rPr>
          <w:rFonts w:eastAsia="ＭＳ 明朝"/>
          <w:lang w:val="en-US" w:eastAsia="ja-JP"/>
        </w:rPr>
      </w:pPr>
    </w:p>
    <w:p w14:paraId="35904079" w14:textId="7AD299E0" w:rsidR="003A160C" w:rsidRPr="005A3C90" w:rsidRDefault="00CE6767" w:rsidP="003A160C">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ＭＳ ゴシック" w:hAnsi="Times New Roman"/>
          <w:b/>
          <w:kern w:val="28"/>
          <w:sz w:val="28"/>
          <w:lang w:val="en-US" w:eastAsia="ja-JP"/>
        </w:rPr>
        <w:t xml:space="preserve"> Issue 2: </w:t>
      </w:r>
      <w:r w:rsidRPr="00CE6767">
        <w:rPr>
          <w:rFonts w:ascii="Times New Roman" w:eastAsia="ＭＳ ゴシック" w:hAnsi="Times New Roman"/>
          <w:b/>
          <w:kern w:val="28"/>
          <w:sz w:val="28"/>
          <w:lang w:val="en-US" w:eastAsia="ja-JP"/>
        </w:rPr>
        <w:t xml:space="preserve">Mechanism for disabling/enabling HARQ </w:t>
      </w:r>
      <w:r w:rsidR="0097321E">
        <w:rPr>
          <w:rFonts w:ascii="Times New Roman" w:eastAsia="ＭＳ ゴシック" w:hAnsi="Times New Roman"/>
          <w:b/>
          <w:kern w:val="28"/>
          <w:sz w:val="28"/>
          <w:lang w:val="en-US" w:eastAsia="ja-JP"/>
        </w:rPr>
        <w:t>feedback</w:t>
      </w:r>
    </w:p>
    <w:p w14:paraId="3013E5B5" w14:textId="35320CA6" w:rsidR="009E5F1E" w:rsidRPr="009E5F1E" w:rsidRDefault="003A160C" w:rsidP="009E5F1E">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aff0"/>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ae"/>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ae"/>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aff0"/>
        <w:widowControl w:val="0"/>
        <w:numPr>
          <w:ilvl w:val="0"/>
          <w:numId w:val="29"/>
        </w:numPr>
        <w:jc w:val="both"/>
        <w:rPr>
          <w:rFonts w:ascii="Times New Roman" w:hAnsi="Times New Roman"/>
          <w:sz w:val="20"/>
          <w:szCs w:val="20"/>
        </w:rPr>
      </w:pPr>
      <w:r>
        <w:rPr>
          <w:rFonts w:ascii="Times New Roman" w:hAnsi="Times New Roman"/>
          <w:sz w:val="20"/>
          <w:szCs w:val="20"/>
        </w:rPr>
        <w:lastRenderedPageBreak/>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 xml:space="preserve">Panasonic,Sony,CMCC,Spreadtrum,Huawei,CATT,Ericsson,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aff0"/>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r w:rsidRPr="00E01D03">
        <w:rPr>
          <w:rFonts w:ascii="Times New Roman" w:hAnsi="Times New Roman"/>
          <w:sz w:val="20"/>
          <w:szCs w:val="20"/>
        </w:rPr>
        <w:t>Nokia,ETRI,</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aff0"/>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a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a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aff0"/>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r w:rsidRPr="00F627F1">
        <w:rPr>
          <w:rFonts w:ascii="Times New Roman" w:hAnsi="Times New Roman"/>
          <w:sz w:val="20"/>
          <w:szCs w:val="20"/>
        </w:rPr>
        <w:t>MediaTek,Panasonic,Sony,CMCC,Ericsson,ETRI,ZTE,LG,Thales,Nomor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aff0"/>
        <w:widowControl w:val="0"/>
        <w:numPr>
          <w:ilvl w:val="1"/>
          <w:numId w:val="29"/>
        </w:numPr>
        <w:jc w:val="both"/>
        <w:rPr>
          <w:rFonts w:ascii="Times New Roman" w:hAnsi="Times New Roman"/>
          <w:sz w:val="20"/>
          <w:szCs w:val="20"/>
        </w:rPr>
      </w:pPr>
    </w:p>
    <w:p w14:paraId="592AB9DC" w14:textId="77777777" w:rsidR="001D3BEE" w:rsidRDefault="001D3BEE" w:rsidP="001D3BEE">
      <w:pPr>
        <w:pStyle w:val="aff0"/>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Lenovo&amp;MotoM,CATT,Huawei,Nokia,SS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aff0"/>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aff0"/>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aff0"/>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aff0"/>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aff0"/>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aff0"/>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ae"/>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ae"/>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hint="eastAsia"/>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rFonts w:hint="eastAsia"/>
                <w:lang w:eastAsia="zh-CN"/>
              </w:rPr>
            </w:pPr>
            <w:r>
              <w:rPr>
                <w:rFonts w:eastAsia="ＭＳ 明朝"/>
                <w:lang w:eastAsia="zh-CN"/>
              </w:rPr>
              <w:t xml:space="preserve">Support proposal 4, but we should strive to use common configuration as much as possible.  </w:t>
            </w:r>
          </w:p>
        </w:tc>
      </w:tr>
    </w:tbl>
    <w:p w14:paraId="4AD04BC6" w14:textId="77777777" w:rsidR="00A30CC9" w:rsidRPr="00F627F1" w:rsidRDefault="00A30CC9" w:rsidP="00A30CC9">
      <w:pPr>
        <w:pStyle w:val="ae"/>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ＭＳ ゴシック" w:hAnsi="Times New Roman"/>
          <w:b/>
          <w:kern w:val="28"/>
          <w:sz w:val="28"/>
          <w:lang w:val="en-US" w:eastAsia="ja-JP"/>
        </w:rPr>
        <w:t xml:space="preserve"> Issue 3: Enhancement on HARA-ARQ codebook: </w:t>
      </w:r>
    </w:p>
    <w:p w14:paraId="3FBD25EC" w14:textId="31CC3F76" w:rsidR="00F627F1" w:rsidRDefault="00F627F1" w:rsidP="00F627F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aff0"/>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r w:rsidRPr="00F627F1">
        <w:rPr>
          <w:rFonts w:ascii="Times New Roman" w:hAnsi="Times New Roman"/>
          <w:sz w:val="20"/>
          <w:szCs w:val="20"/>
        </w:rPr>
        <w:t>Huawei,Ericsson,Lenovo&amp;MotoM,Sony,ETRI,ZTE,LG,Thales,Nomor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aff0"/>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r w:rsidR="006B00A6" w:rsidRPr="00692431">
        <w:rPr>
          <w:rFonts w:ascii="Times New Roman" w:hAnsi="Times New Roman"/>
          <w:sz w:val="20"/>
          <w:szCs w:val="20"/>
        </w:rPr>
        <w:t>Nokia,OPPO,S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aff0"/>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ae"/>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ae"/>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ae"/>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ae"/>
              <w:numPr>
                <w:ilvl w:val="0"/>
                <w:numId w:val="32"/>
              </w:numPr>
              <w:rPr>
                <w:lang w:eastAsia="zh-CN"/>
              </w:rPr>
            </w:pPr>
            <w:proofErr w:type="spellStart"/>
            <w:r>
              <w:rPr>
                <w:lang w:eastAsia="zh-CN"/>
              </w:rPr>
              <w:t>gNB</w:t>
            </w:r>
            <w:proofErr w:type="spellEnd"/>
            <w:r>
              <w:rPr>
                <w:lang w:eastAsia="zh-CN"/>
              </w:rPr>
              <w:t xml:space="preserve"> can obtain valid HARQ-ACK information for each of the transmitted PDSCH. </w:t>
            </w:r>
          </w:p>
          <w:p w14:paraId="20221F99" w14:textId="1D747881" w:rsidR="00B07485" w:rsidRDefault="00B07485" w:rsidP="00B07485">
            <w:pPr>
              <w:pStyle w:val="ae"/>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w:t>
            </w:r>
            <w:proofErr w:type="spellStart"/>
            <w:r>
              <w:t>signalling</w:t>
            </w:r>
            <w:proofErr w:type="spellEnd"/>
            <w:r>
              <w:t xml:space="preserve"> are not received by UE; b) DL packets not correctly received by UE for a long period of time without being known by </w:t>
            </w:r>
            <w:proofErr w:type="spellStart"/>
            <w:r>
              <w:t>gNB</w:t>
            </w:r>
            <w:proofErr w:type="spellEnd"/>
            <w:r>
              <w:t xml:space="preserve">. </w:t>
            </w:r>
          </w:p>
          <w:p w14:paraId="1188E533" w14:textId="1569ACF9" w:rsidR="00A30CC9" w:rsidRPr="007210D3" w:rsidRDefault="00B07485" w:rsidP="00B07485">
            <w:pPr>
              <w:pStyle w:val="ae"/>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hint="eastAsia"/>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ＭＳ 明朝"/>
                <w:lang w:eastAsia="zh-CN"/>
              </w:rPr>
              <w:t xml:space="preserve">It would be necessary to specify handling of HARQ-feedback disabled process for HARQ-ACK codebook, but a straightforward rule (e.g. insert NACK (or ACK) for type1 and ignore DAI for type2) would be the baseline. </w:t>
            </w:r>
          </w:p>
        </w:tc>
      </w:tr>
    </w:tbl>
    <w:p w14:paraId="1BE03BD6" w14:textId="56BEDF33"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ＭＳ ゴシック" w:hAnsi="Times New Roman"/>
          <w:b/>
          <w:kern w:val="28"/>
          <w:sz w:val="28"/>
          <w:lang w:val="en-US" w:eastAsia="ja-JP"/>
        </w:rPr>
        <w:t xml:space="preserve"> Issue </w:t>
      </w:r>
      <w:r w:rsidR="00270076">
        <w:rPr>
          <w:rFonts w:ascii="Times New Roman" w:eastAsia="ＭＳ ゴシック" w:hAnsi="Times New Roman"/>
          <w:b/>
          <w:kern w:val="28"/>
          <w:sz w:val="28"/>
          <w:lang w:val="en-US" w:eastAsia="ja-JP"/>
        </w:rPr>
        <w:t>4</w:t>
      </w:r>
      <w:r>
        <w:rPr>
          <w:rFonts w:ascii="Times New Roman" w:eastAsia="ＭＳ ゴシック" w:hAnsi="Times New Roman"/>
          <w:b/>
          <w:kern w:val="28"/>
          <w:sz w:val="28"/>
          <w:lang w:val="en-US" w:eastAsia="ja-JP"/>
        </w:rPr>
        <w:t xml:space="preserve">: </w:t>
      </w:r>
      <w:r w:rsidR="00270076">
        <w:rPr>
          <w:rFonts w:ascii="Times New Roman" w:eastAsia="ＭＳ ゴシック" w:hAnsi="Times New Roman"/>
          <w:b/>
          <w:kern w:val="28"/>
          <w:sz w:val="28"/>
          <w:lang w:val="en-US" w:eastAsia="ja-JP"/>
        </w:rPr>
        <w:t>Enhancement on the transmission</w:t>
      </w:r>
      <w:r>
        <w:rPr>
          <w:rFonts w:ascii="Times New Roman" w:eastAsia="ＭＳ ゴシック" w:hAnsi="Times New Roman"/>
          <w:b/>
          <w:kern w:val="28"/>
          <w:sz w:val="28"/>
          <w:lang w:val="en-US" w:eastAsia="ja-JP"/>
        </w:rPr>
        <w:t xml:space="preserve">: </w:t>
      </w:r>
    </w:p>
    <w:p w14:paraId="6D97DB29" w14:textId="15A80440" w:rsidR="00615C54" w:rsidRDefault="00615C54" w:rsidP="00615C54">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aff0"/>
        <w:widowControl w:val="0"/>
        <w:numPr>
          <w:ilvl w:val="0"/>
          <w:numId w:val="29"/>
        </w:numPr>
        <w:jc w:val="both"/>
        <w:rPr>
          <w:rFonts w:ascii="Times New Roman" w:hAnsi="Times New Roman"/>
          <w:sz w:val="20"/>
          <w:szCs w:val="20"/>
        </w:rPr>
      </w:pPr>
      <w:r>
        <w:rPr>
          <w:rFonts w:ascii="Times New Roman" w:hAnsi="Times New Roman"/>
          <w:sz w:val="20"/>
          <w:szCs w:val="20"/>
        </w:rPr>
        <w:lastRenderedPageBreak/>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Panasonic,Sony,CMCC,Spreadtrum,CATT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aff0"/>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aff0"/>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aff0"/>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aff0"/>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aff0"/>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aff0"/>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aff0"/>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aff0"/>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aff0"/>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hint="eastAsia"/>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ＭＳ 明朝" w:cstheme="minorBidi"/>
                <w:lang w:eastAsia="zh-CN"/>
              </w:rPr>
            </w:pPr>
            <w:r>
              <w:rPr>
                <w:rFonts w:eastAsia="ＭＳ 明朝"/>
                <w:lang w:eastAsia="zh-CN"/>
              </w:rPr>
              <w:t xml:space="preserve">As we commented in the 1st round discussion, we propose to add DCI indication of soft buffer usage (to store or not). This allows </w:t>
            </w:r>
            <w:proofErr w:type="spellStart"/>
            <w:r>
              <w:rPr>
                <w:rFonts w:eastAsia="ＭＳ 明朝"/>
                <w:lang w:eastAsia="zh-CN"/>
              </w:rPr>
              <w:t>gNB</w:t>
            </w:r>
            <w:proofErr w:type="spellEnd"/>
            <w:r>
              <w:rPr>
                <w:rFonts w:eastAsia="ＭＳ 明朝"/>
                <w:lang w:eastAsia="zh-CN"/>
              </w:rPr>
              <w:t xml:space="preserve">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ＭＳ 明朝"/>
                <w:lang w:eastAsia="zh-CN"/>
              </w:rPr>
            </w:pPr>
            <w:r>
              <w:rPr>
                <w:rFonts w:eastAsia="ＭＳ 明朝"/>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ＭＳ 明朝"/>
                <w:lang w:eastAsia="zh-CN"/>
              </w:rPr>
              <w:t xml:space="preserve">- Soft buffer usage indication </w:t>
            </w:r>
          </w:p>
        </w:tc>
      </w:tr>
    </w:tbl>
    <w:p w14:paraId="04643E43" w14:textId="77777777"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ＭＳ ゴシック" w:hAnsi="Times New Roman"/>
          <w:b/>
          <w:kern w:val="28"/>
          <w:sz w:val="28"/>
          <w:lang w:val="en-US" w:eastAsia="ja-JP"/>
        </w:rPr>
        <w:t xml:space="preserve"> Issue </w:t>
      </w:r>
      <w:r w:rsidR="00270076">
        <w:rPr>
          <w:rFonts w:ascii="Times New Roman" w:eastAsia="ＭＳ ゴシック" w:hAnsi="Times New Roman"/>
          <w:b/>
          <w:kern w:val="28"/>
          <w:sz w:val="28"/>
          <w:lang w:val="en-US" w:eastAsia="ja-JP"/>
        </w:rPr>
        <w:t>5</w:t>
      </w:r>
      <w:r>
        <w:rPr>
          <w:rFonts w:ascii="Times New Roman" w:eastAsia="ＭＳ ゴシック" w:hAnsi="Times New Roman"/>
          <w:b/>
          <w:kern w:val="28"/>
          <w:sz w:val="28"/>
          <w:lang w:val="en-US" w:eastAsia="ja-JP"/>
        </w:rPr>
        <w:t xml:space="preserve">: </w:t>
      </w:r>
      <w:r w:rsidR="00270076">
        <w:rPr>
          <w:rFonts w:ascii="Times New Roman" w:eastAsia="ＭＳ ゴシック" w:hAnsi="Times New Roman"/>
          <w:b/>
          <w:kern w:val="28"/>
          <w:sz w:val="28"/>
          <w:lang w:val="en-US" w:eastAsia="ja-JP"/>
        </w:rPr>
        <w:t>Extension of k1 value</w:t>
      </w:r>
      <w:r>
        <w:rPr>
          <w:rFonts w:ascii="Times New Roman" w:eastAsia="ＭＳ ゴシック" w:hAnsi="Times New Roman"/>
          <w:b/>
          <w:kern w:val="28"/>
          <w:sz w:val="28"/>
          <w:lang w:val="en-US" w:eastAsia="ja-JP"/>
        </w:rPr>
        <w:t xml:space="preserve">: </w:t>
      </w:r>
    </w:p>
    <w:p w14:paraId="6E733AD6" w14:textId="40EF2B37" w:rsidR="00856281" w:rsidRPr="009E5F1E" w:rsidRDefault="00856281" w:rsidP="0085628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aff0"/>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r w:rsidRPr="00D60588">
        <w:rPr>
          <w:rFonts w:ascii="Times New Roman" w:hAnsi="Times New Roman"/>
          <w:sz w:val="20"/>
          <w:szCs w:val="20"/>
        </w:rPr>
        <w:t>Huawei,Ericsson,ZTE,Eutelsat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w:t>
      </w:r>
      <w:r w:rsidR="00D60588">
        <w:rPr>
          <w:rFonts w:ascii="Times New Roman" w:hAnsi="Times New Roman"/>
          <w:sz w:val="20"/>
          <w:szCs w:val="20"/>
        </w:rPr>
        <w:lastRenderedPageBreak/>
        <w:t xml:space="preserve">fine with the proposal. And one company is neutral. </w:t>
      </w:r>
    </w:p>
    <w:p w14:paraId="39FF3C7E" w14:textId="60F8B4A2" w:rsidR="00856281" w:rsidRPr="009E5F1E" w:rsidRDefault="00F126D1" w:rsidP="00F126D1">
      <w:pPr>
        <w:pStyle w:val="ae"/>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aff0"/>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ＭＳ ゴシック" w:hAnsi="Times New Roman"/>
          <w:b/>
          <w:kern w:val="28"/>
          <w:sz w:val="28"/>
          <w:lang w:val="en-US" w:eastAsia="ja-JP"/>
        </w:rPr>
        <w:t xml:space="preserve"> Issue </w:t>
      </w:r>
      <w:r w:rsidR="00270076">
        <w:rPr>
          <w:rFonts w:ascii="Times New Roman" w:eastAsia="ＭＳ ゴシック" w:hAnsi="Times New Roman"/>
          <w:b/>
          <w:kern w:val="28"/>
          <w:sz w:val="28"/>
          <w:lang w:val="en-US" w:eastAsia="ja-JP"/>
        </w:rPr>
        <w:t>6</w:t>
      </w:r>
      <w:r>
        <w:rPr>
          <w:rFonts w:ascii="Times New Roman" w:eastAsia="ＭＳ ゴシック" w:hAnsi="Times New Roman"/>
          <w:b/>
          <w:kern w:val="28"/>
          <w:sz w:val="28"/>
          <w:lang w:val="en-US" w:eastAsia="ja-JP"/>
        </w:rPr>
        <w:t xml:space="preserve">: </w:t>
      </w:r>
      <w:r w:rsidR="00270076">
        <w:rPr>
          <w:rFonts w:ascii="Times New Roman" w:eastAsia="ＭＳ ゴシック" w:hAnsi="Times New Roman"/>
          <w:b/>
          <w:kern w:val="28"/>
          <w:sz w:val="28"/>
          <w:lang w:val="en-US" w:eastAsia="ja-JP"/>
        </w:rPr>
        <w:t>Enhancement on the HARQ feedback</w:t>
      </w:r>
      <w:r>
        <w:rPr>
          <w:rFonts w:ascii="Times New Roman" w:eastAsia="ＭＳ ゴシック" w:hAnsi="Times New Roman"/>
          <w:b/>
          <w:kern w:val="28"/>
          <w:sz w:val="28"/>
          <w:lang w:val="en-US" w:eastAsia="ja-JP"/>
        </w:rPr>
        <w:t xml:space="preserve">: </w:t>
      </w:r>
    </w:p>
    <w:p w14:paraId="649786B3" w14:textId="7742C6C9" w:rsidR="00183B64" w:rsidRDefault="00183B64" w:rsidP="00183B64">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aff0"/>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proofErr w:type="gramStart"/>
      <w:r w:rsidRPr="00607365">
        <w:rPr>
          <w:rFonts w:ascii="Times New Roman" w:eastAsiaTheme="minorEastAsia" w:hAnsi="Times New Roman"/>
          <w:sz w:val="20"/>
          <w:szCs w:val="20"/>
          <w:lang w:eastAsia="zh-CN"/>
        </w:rPr>
        <w:t>Huawei,QC</w:t>
      </w:r>
      <w:proofErr w:type="gramEnd"/>
      <w:r w:rsidRPr="00607365">
        <w:rPr>
          <w:rFonts w:ascii="Times New Roman" w:eastAsiaTheme="minorEastAsia" w:hAnsi="Times New Roman"/>
          <w:sz w:val="20"/>
          <w:szCs w:val="20"/>
          <w:lang w:eastAsia="zh-CN"/>
        </w:rPr>
        <w:t>,CMCC</w:t>
      </w:r>
      <w:proofErr w:type="spell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aff0"/>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proofErr w:type="gramStart"/>
      <w:r w:rsidRPr="00607365">
        <w:rPr>
          <w:rFonts w:ascii="Times New Roman" w:eastAsiaTheme="minorEastAsia" w:hAnsi="Times New Roman"/>
          <w:sz w:val="20"/>
          <w:szCs w:val="20"/>
          <w:lang w:eastAsia="zh-CN"/>
        </w:rPr>
        <w:t>Ericsson,ETRI</w:t>
      </w:r>
      <w:proofErr w:type="gramEnd"/>
      <w:r w:rsidRPr="00607365">
        <w:rPr>
          <w:rFonts w:ascii="Times New Roman" w:eastAsiaTheme="minorEastAsia" w:hAnsi="Times New Roman"/>
          <w:sz w:val="20"/>
          <w:szCs w:val="20"/>
          <w:lang w:eastAsia="zh-CN"/>
        </w:rPr>
        <w:t>,CATT,Lenovo</w:t>
      </w:r>
      <w:proofErr w:type="spell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aff0"/>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aff0"/>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ＭＳ ゴシック" w:hAnsi="Times New Roman"/>
          <w:b/>
          <w:kern w:val="28"/>
          <w:sz w:val="28"/>
          <w:lang w:val="en-US" w:eastAsia="ja-JP"/>
        </w:rPr>
        <w:t xml:space="preserve"> Issue </w:t>
      </w:r>
      <w:r w:rsidR="00270076">
        <w:rPr>
          <w:rFonts w:ascii="Times New Roman" w:eastAsia="ＭＳ ゴシック" w:hAnsi="Times New Roman"/>
          <w:b/>
          <w:kern w:val="28"/>
          <w:sz w:val="28"/>
          <w:lang w:val="en-US" w:eastAsia="ja-JP"/>
        </w:rPr>
        <w:t>7</w:t>
      </w:r>
      <w:r>
        <w:rPr>
          <w:rFonts w:ascii="Times New Roman" w:eastAsia="ＭＳ ゴシック" w:hAnsi="Times New Roman"/>
          <w:b/>
          <w:kern w:val="28"/>
          <w:sz w:val="28"/>
          <w:lang w:val="en-US" w:eastAsia="ja-JP"/>
        </w:rPr>
        <w:t xml:space="preserve">: </w:t>
      </w:r>
      <w:proofErr w:type="spellStart"/>
      <w:r w:rsidR="00270076">
        <w:rPr>
          <w:rFonts w:ascii="Times New Roman" w:eastAsia="ＭＳ ゴシック" w:hAnsi="Times New Roman"/>
          <w:b/>
          <w:kern w:val="28"/>
          <w:sz w:val="28"/>
          <w:lang w:val="en-US" w:eastAsia="ja-JP"/>
        </w:rPr>
        <w:t>Misc</w:t>
      </w:r>
      <w:proofErr w:type="spellEnd"/>
      <w:r>
        <w:rPr>
          <w:rFonts w:ascii="Times New Roman" w:eastAsia="ＭＳ ゴシック" w:hAnsi="Times New Roman"/>
          <w:b/>
          <w:kern w:val="28"/>
          <w:sz w:val="28"/>
          <w:lang w:val="en-US" w:eastAsia="ja-JP"/>
        </w:rPr>
        <w:t xml:space="preserve">: </w:t>
      </w:r>
    </w:p>
    <w:p w14:paraId="7E401FB7" w14:textId="0DAFC5A4" w:rsidR="006C71FD" w:rsidRPr="009E5F1E" w:rsidRDefault="006C71FD" w:rsidP="006C71FD">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aff0"/>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aff0"/>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aff0"/>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aff0"/>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proofErr w:type="gramStart"/>
      <w:r w:rsidRPr="006C71FD">
        <w:rPr>
          <w:rFonts w:ascii="Times New Roman" w:eastAsiaTheme="minorEastAsia" w:hAnsi="Times New Roman"/>
          <w:i/>
          <w:sz w:val="20"/>
          <w:szCs w:val="20"/>
          <w:lang w:eastAsia="zh-CN"/>
        </w:rPr>
        <w:t>MotoM,APT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aff0"/>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r w:rsidRPr="006C71FD">
        <w:rPr>
          <w:rFonts w:ascii="Times New Roman" w:eastAsiaTheme="minorEastAsia" w:hAnsi="Times New Roman"/>
          <w:i/>
          <w:sz w:val="20"/>
          <w:szCs w:val="20"/>
          <w:lang w:eastAsia="zh-CN"/>
        </w:rPr>
        <w:t>Huawei,ZTE,LG,Nokia,OPPO,Apple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aff0"/>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aff0"/>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aff0"/>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aff0"/>
        <w:numPr>
          <w:ilvl w:val="1"/>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enabling information by the source satellite </w:t>
      </w:r>
      <w:proofErr w:type="spellStart"/>
      <w:r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aff0"/>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aff0"/>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lastRenderedPageBreak/>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w:t>
            </w:r>
            <w:proofErr w:type="spellStart"/>
            <w:r w:rsidRPr="00CA2C05">
              <w:rPr>
                <w:rFonts w:hint="eastAsia"/>
                <w:sz w:val="20"/>
                <w:szCs w:val="20"/>
                <w:lang w:eastAsia="zh-CN"/>
              </w:rPr>
              <w:t>gNB</w:t>
            </w:r>
            <w:proofErr w:type="spellEnd"/>
            <w:r w:rsidRPr="00CA2C05">
              <w:rPr>
                <w:rFonts w:hint="eastAsia"/>
                <w:sz w:val="20"/>
                <w:szCs w:val="20"/>
                <w:lang w:eastAsia="zh-CN"/>
              </w:rPr>
              <w:t xml:space="preserve">.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hint="eastAsia"/>
                <w:lang w:eastAsia="zh-CN"/>
              </w:rPr>
            </w:pPr>
            <w:r>
              <w:rPr>
                <w:rFonts w:eastAsia="ＭＳ 明朝"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ＭＳ 明朝"/>
                <w:lang w:eastAsia="zh-CN"/>
              </w:rPr>
              <w:t xml:space="preserve">Support to discuss about the necessity on the 1st and 2nd bullets. 3rd bullet might be RAN2 topic. </w:t>
            </w:r>
            <w:bookmarkStart w:id="2" w:name="_GoBack"/>
            <w:bookmarkEnd w:id="2"/>
          </w:p>
        </w:tc>
      </w:tr>
    </w:tbl>
    <w:p w14:paraId="00F000C0" w14:textId="77777777" w:rsidR="00A30CC9" w:rsidRPr="00960FC5" w:rsidRDefault="00A30CC9" w:rsidP="00A30CC9">
      <w:pPr>
        <w:pStyle w:val="aff0"/>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 xml:space="preserve">Considering a LEO-1200 S-Band scenario with 30UEs per cell the with a restriction to schedule up to 3UEs, the CDF of the UL UE throughput is similar if up to 32 or 16 </w:t>
            </w:r>
            <w:r w:rsidRPr="004F3F81">
              <w:rPr>
                <w:lang w:eastAsia="ja-JP"/>
              </w:rPr>
              <w:lastRenderedPageBreak/>
              <w:t>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lastRenderedPageBreak/>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lastRenderedPageBreak/>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f0"/>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f0"/>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f0"/>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f0"/>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f0"/>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f0"/>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lastRenderedPageBreak/>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lastRenderedPageBreak/>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f0"/>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lastRenderedPageBreak/>
              <w:t>the following components could be considered as the axis of multiple aggregation factors span</w:t>
            </w:r>
          </w:p>
          <w:p w14:paraId="421F6EA2"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f0"/>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f0"/>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f0"/>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The</w:t>
            </w:r>
            <w:r w:rsidRPr="004F3F81">
              <w:rPr>
                <w:rStyle w:val="afc"/>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sz w:val="20"/>
                <w:szCs w:val="20"/>
              </w:rPr>
            </w:pPr>
            <w:r w:rsidRPr="004F3F81">
              <w:rPr>
                <w:rStyle w:val="afc"/>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lastRenderedPageBreak/>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lastRenderedPageBreak/>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f0"/>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f0"/>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f0"/>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561B3" w14:textId="77777777" w:rsidR="00E942B6" w:rsidRDefault="00E942B6">
      <w:pPr>
        <w:spacing w:after="0"/>
      </w:pPr>
      <w:r>
        <w:separator/>
      </w:r>
    </w:p>
  </w:endnote>
  <w:endnote w:type="continuationSeparator" w:id="0">
    <w:p w14:paraId="708FB51C" w14:textId="77777777" w:rsidR="00E942B6" w:rsidRDefault="00E94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4456E9" w:rsidRDefault="004456E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4456E9" w:rsidRDefault="004456E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A2B1CD1" w:rsidR="004456E9" w:rsidRDefault="004456E9">
    <w:pPr>
      <w:pStyle w:val="af1"/>
      <w:ind w:right="360"/>
    </w:pPr>
    <w:r>
      <w:rPr>
        <w:rStyle w:val="af9"/>
      </w:rPr>
      <w:fldChar w:fldCharType="begin"/>
    </w:r>
    <w:r>
      <w:rPr>
        <w:rStyle w:val="af9"/>
      </w:rPr>
      <w:instrText xml:space="preserve"> PAGE </w:instrText>
    </w:r>
    <w:r>
      <w:rPr>
        <w:rStyle w:val="af9"/>
      </w:rPr>
      <w:fldChar w:fldCharType="separate"/>
    </w:r>
    <w:r w:rsidR="00B55C89">
      <w:rPr>
        <w:rStyle w:val="af9"/>
        <w:noProof/>
      </w:rPr>
      <w:t>21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B55C89">
      <w:rPr>
        <w:rStyle w:val="af9"/>
        <w:noProof/>
      </w:rPr>
      <w:t>28</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6195" w14:textId="77777777" w:rsidR="005109C7" w:rsidRDefault="005109C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32DA" w14:textId="77777777" w:rsidR="00E942B6" w:rsidRDefault="00E942B6">
      <w:pPr>
        <w:spacing w:after="0"/>
      </w:pPr>
      <w:r>
        <w:separator/>
      </w:r>
    </w:p>
  </w:footnote>
  <w:footnote w:type="continuationSeparator" w:id="0">
    <w:p w14:paraId="2152BB07" w14:textId="77777777" w:rsidR="00E942B6" w:rsidRDefault="00E94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3DE4" w14:textId="77777777" w:rsidR="005109C7" w:rsidRDefault="005109C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92C2" w14:textId="77777777" w:rsidR="005109C7" w:rsidRDefault="005109C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7">
    <w:name w:val="List Continue"/>
    <w:basedOn w:val="a1"/>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B2CE23-EAFF-4954-9BB1-D2DB05A9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28</Pages>
  <Words>11773</Words>
  <Characters>67109</Characters>
  <Application>Microsoft Office Word</Application>
  <DocSecurity>0</DocSecurity>
  <Lines>559</Lines>
  <Paragraphs>157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Nishio Akihiko (西尾 昭彦)</cp:lastModifiedBy>
  <cp:revision>12</cp:revision>
  <cp:lastPrinted>2011-11-09T07:49:00Z</cp:lastPrinted>
  <dcterms:created xsi:type="dcterms:W3CDTF">2020-08-24T05:34:00Z</dcterms:created>
  <dcterms:modified xsi:type="dcterms:W3CDTF">2020-08-24T07:32:00Z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