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E01D82">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w:t>
            </w:r>
            <w:r>
              <w:t xml:space="preserve"> </w:t>
            </w:r>
            <w:r>
              <w:t>increase</w:t>
            </w:r>
            <w:r>
              <w:t>s</w:t>
            </w:r>
            <w:r>
              <w:t xml:space="preserve"> throughput and guarantees robustness</w:t>
            </w:r>
            <w:r>
              <w:t xml:space="preserve"> without change of specs.</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lastRenderedPageBreak/>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xml:space="preserve">, the DCI for SPS PDSCH activation may need HARQ feedback similar with SPS PDSCH release in </w:t>
            </w:r>
            <w:r>
              <w:rPr>
                <w:lang w:eastAsia="zh-CN"/>
              </w:rPr>
              <w:lastRenderedPageBreak/>
              <w:t>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w:t>
      </w:r>
      <w:r w:rsidR="00883CAD">
        <w:rPr>
          <w:rFonts w:eastAsiaTheme="minorEastAsia"/>
          <w:lang w:eastAsia="zh-CN"/>
        </w:rPr>
        <w:lastRenderedPageBreak/>
        <w:t xml:space="preserve">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E01D82">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Proposal 5</w:t>
            </w:r>
            <w:r>
              <w:rPr>
                <w:lang w:eastAsia="zh-CN"/>
              </w:rPr>
              <w:t>-a</w:t>
            </w:r>
            <w:r>
              <w:rPr>
                <w:lang w:eastAsia="zh-CN"/>
              </w:rPr>
              <w:t xml:space="preserve">: Enhancements on the Rel-15/16 NR HARQ-ACK codebooks </w:t>
            </w:r>
            <w:r>
              <w:rPr>
                <w:lang w:eastAsia="zh-CN"/>
              </w:rPr>
              <w:t xml:space="preserve">, at least Type-1 and Type-2 </w:t>
            </w:r>
            <w:r>
              <w:rPr>
                <w:lang w:eastAsia="zh-CN"/>
              </w:rPr>
              <w:t xml:space="preserve">shall be considered. </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2C3DA2">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2C3DA2">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E01D82">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E01D82">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lastRenderedPageBreak/>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E01D82">
            <w:pPr>
              <w:snapToGrid w:val="0"/>
              <w:rPr>
                <w:lang w:eastAsia="zh-CN"/>
              </w:rPr>
            </w:pPr>
            <w:r>
              <w:rPr>
                <w:lang w:eastAsia="zh-CN"/>
              </w:rPr>
              <w:t>Support proposal 7.</w:t>
            </w:r>
          </w:p>
        </w:tc>
      </w:tr>
      <w:tr w:rsidR="00580DE4" w14:paraId="1D1A20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 xml:space="preserve">The proposal does not contain much information other than further discussion can be considered. Hence it is difficult to either agree or disagree. Prior to accepting </w:t>
            </w:r>
            <w:r>
              <w:rPr>
                <w:lang w:eastAsia="zh-CN"/>
              </w:rPr>
              <w:lastRenderedPageBreak/>
              <w:t>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lastRenderedPageBreak/>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E01D82">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E01D82">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w:t>
            </w:r>
            <w:r>
              <w:rPr>
                <w:lang w:eastAsia="zh-CN"/>
              </w:rPr>
              <w:t>t support</w:t>
            </w:r>
            <w:r>
              <w:rPr>
                <w:lang w:eastAsia="zh-CN"/>
              </w:rPr>
              <w:t xml:space="preserve">. </w:t>
            </w:r>
            <w:r>
              <w:rPr>
                <w:lang w:eastAsia="zh-CN"/>
              </w:rPr>
              <w:t>B</w:t>
            </w:r>
            <w:r>
              <w:rPr>
                <w:lang w:eastAsia="zh-CN"/>
              </w:rPr>
              <w:t>ased on our understanding, two ACK/NACK per HARQ ID may be feasible by current NR HARQ-ACK codebooks, but no good reason to support this feature.</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E01D82">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xml:space="preserve">, </w:t>
            </w:r>
            <w:r>
              <w:rPr>
                <w:rFonts w:ascii="Times New Roman" w:hAnsi="Times New Roman"/>
                <w:sz w:val="20"/>
                <w:szCs w:val="20"/>
                <w:lang w:eastAsia="zh-CN"/>
              </w:rPr>
              <w:t>rather than</w:t>
            </w:r>
            <w:r>
              <w:rPr>
                <w:rFonts w:ascii="Times New Roman" w:hAnsi="Times New Roman"/>
                <w:sz w:val="20"/>
                <w:szCs w:val="20"/>
                <w:lang w:eastAsia="zh-CN"/>
              </w:rPr>
              <w:t xml:space="preserve"> the source gNB.</w:t>
            </w:r>
            <w:r>
              <w:rPr>
                <w:lang w:eastAsia="zh-CN"/>
              </w:rPr>
              <w:t xml:space="preserve"> </w:t>
            </w:r>
          </w:p>
          <w:p w14:paraId="7B3EC880" w14:textId="77777777" w:rsidR="00580DE4" w:rsidRDefault="00580DE4" w:rsidP="00580DE4">
            <w:pPr>
              <w:snapToGrid w:val="0"/>
            </w:pPr>
          </w:p>
        </w:tc>
      </w:tr>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w:t>
            </w:r>
            <w:r w:rsidRPr="004F3F81">
              <w:rPr>
                <w:lang w:eastAsia="ja-JP"/>
              </w:rPr>
              <w:lastRenderedPageBreak/>
              <w:t xml:space="preserve">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 xml:space="preserve">The probability of an RLC error rate per UE larger than 2% is 0.8% if a PHY BLER target of 1% is applied and 0.5% if an averaged SINR in dB and an offset of -4.5dB is </w:t>
            </w:r>
            <w:r w:rsidRPr="004F3F81">
              <w:lastRenderedPageBreak/>
              <w:t>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lastRenderedPageBreak/>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 xml:space="preserve">Observation 7: The impacts on the UE/BS capability with support on extended HARQ process number is </w:t>
            </w:r>
            <w:r w:rsidRPr="004F3F81">
              <w:rPr>
                <w:lang w:eastAsia="zh-CN"/>
              </w:rPr>
              <w:lastRenderedPageBreak/>
              <w:t>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2"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2"/>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lastRenderedPageBreak/>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NR Type-1 HARQ codebook, the UE inserts NACKs in positions corresponding to </w:t>
            </w:r>
            <w:r w:rsidRPr="004F3F81">
              <w:rPr>
                <w:rStyle w:val="Hyperlink"/>
                <w:rFonts w:ascii="Times New Roman" w:hAnsi="Times New Roman" w:cs="Times New Roman"/>
                <w:b w:val="0"/>
                <w:noProof/>
                <w:color w:val="000000" w:themeColor="text1"/>
                <w:sz w:val="20"/>
                <w:szCs w:val="20"/>
                <w:u w:val="none"/>
              </w:rPr>
              <w:lastRenderedPageBreak/>
              <w:t>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lastRenderedPageBreak/>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9BF76" w14:textId="77777777" w:rsidR="001034F4" w:rsidRDefault="001034F4">
      <w:pPr>
        <w:spacing w:after="0"/>
      </w:pPr>
      <w:r>
        <w:separator/>
      </w:r>
    </w:p>
  </w:endnote>
  <w:endnote w:type="continuationSeparator" w:id="0">
    <w:p w14:paraId="1B2D8014" w14:textId="77777777" w:rsidR="001034F4" w:rsidRDefault="00103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A2B1CD1"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B22A29">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2A29">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781E" w14:textId="77777777" w:rsidR="00836A16" w:rsidRDefault="0083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1B279" w14:textId="77777777" w:rsidR="001034F4" w:rsidRDefault="001034F4">
      <w:pPr>
        <w:spacing w:after="0"/>
      </w:pPr>
      <w:r>
        <w:separator/>
      </w:r>
    </w:p>
  </w:footnote>
  <w:footnote w:type="continuationSeparator" w:id="0">
    <w:p w14:paraId="21ABFA9A" w14:textId="77777777" w:rsidR="001034F4" w:rsidRDefault="001034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64B1" w14:textId="77777777" w:rsidR="00836A16" w:rsidRDefault="00836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C8A23" w14:textId="77777777" w:rsidR="00836A16" w:rsidRDefault="0083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0"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1"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7"/>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21"/>
  </w:num>
  <w:num w:numId="11">
    <w:abstractNumId w:val="12"/>
  </w:num>
  <w:num w:numId="12">
    <w:abstractNumId w:val="5"/>
  </w:num>
  <w:num w:numId="13">
    <w:abstractNumId w:val="2"/>
  </w:num>
  <w:num w:numId="14">
    <w:abstractNumId w:val="23"/>
  </w:num>
  <w:num w:numId="15">
    <w:abstractNumId w:val="24"/>
  </w:num>
  <w:num w:numId="16">
    <w:abstractNumId w:val="3"/>
  </w:num>
  <w:num w:numId="17">
    <w:abstractNumId w:val="16"/>
  </w:num>
  <w:num w:numId="18">
    <w:abstractNumId w:val="18"/>
  </w:num>
  <w:num w:numId="19">
    <w:abstractNumId w:val="19"/>
  </w:num>
  <w:num w:numId="20">
    <w:abstractNumId w:val="20"/>
  </w:num>
  <w:num w:numId="21">
    <w:abstractNumId w:val="11"/>
  </w:num>
  <w:num w:numId="22">
    <w:abstractNumId w:val="15"/>
  </w:num>
  <w:num w:numId="23">
    <w:abstractNumId w:val="8"/>
  </w:num>
  <w:num w:numId="24">
    <w:abstractNumId w:val="4"/>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0EECB-6A46-4658-B95F-2CAE02455A20}">
  <ds:schemaRefs>
    <ds:schemaRef ds:uri="http://schemas.openxmlformats.org/officeDocument/2006/bibliography"/>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22</Pages>
  <Words>9425</Words>
  <Characters>53724</Characters>
  <Application>Microsoft Office Word</Application>
  <DocSecurity>0</DocSecurity>
  <Lines>447</Lines>
  <Paragraphs>126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63023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Chien-Chun</cp:lastModifiedBy>
  <cp:revision>4</cp:revision>
  <cp:lastPrinted>2011-11-09T07:49:00Z</cp:lastPrinted>
  <dcterms:created xsi:type="dcterms:W3CDTF">2020-08-19T20:05:00Z</dcterms:created>
  <dcterms:modified xsi:type="dcterms:W3CDTF">2020-08-20T07:14:00Z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0x010100EB28163D68FE8E4D9361964FDD814FC4</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