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w:t>
            </w:r>
            <w:proofErr w:type="gramStart"/>
            <w:r>
              <w:rPr>
                <w:rFonts w:eastAsiaTheme="minorEastAsia"/>
                <w:lang w:eastAsia="zh-CN"/>
              </w:rPr>
              <w:t>indication 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Panasonic</w:t>
            </w:r>
            <w:proofErr w:type="gramStart"/>
            <w:r w:rsidRPr="00D539B3">
              <w:t>]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E01D82">
            <w:pPr>
              <w:snapToGrid w:val="0"/>
              <w:ind w:left="360"/>
              <w:rPr>
                <w:color w:val="833C0B" w:themeColor="accent2" w:themeShade="80"/>
              </w:rPr>
            </w:pPr>
            <w:r>
              <w:rPr>
                <w:color w:val="833C0B" w:themeColor="accent2" w:themeShade="80"/>
              </w:rPr>
              <w:t xml:space="preserve">Agree with </w:t>
            </w:r>
            <w:proofErr w:type="spellStart"/>
            <w:r>
              <w:rPr>
                <w:color w:val="833C0B" w:themeColor="accent2" w:themeShade="80"/>
              </w:rPr>
              <w:t>MediaTek</w:t>
            </w:r>
            <w:proofErr w:type="spellEnd"/>
            <w:r>
              <w:rPr>
                <w:color w:val="833C0B" w:themeColor="accent2" w:themeShade="80"/>
              </w:rPr>
              <w:t>. Any increase above 16 HARQ processes requires significant benefits to be demonstrated taking into account potential optimizations with 16 processes.</w:t>
            </w:r>
          </w:p>
        </w:tc>
      </w:tr>
      <w:tr w:rsidR="00B22A29" w14:paraId="70F2DEA3"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77777777" w:rsidR="00B22A29" w:rsidRDefault="00B22A29" w:rsidP="000B5234">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04A60AA4" w14:textId="77777777" w:rsidR="00B22A29" w:rsidRDefault="00B22A29" w:rsidP="00B22A29">
            <w:pPr>
              <w:snapToGrid w:val="0"/>
              <w:spacing w:after="120"/>
              <w:ind w:left="357"/>
              <w:jc w:val="both"/>
              <w:rPr>
                <w:lang w:eastAsia="ja-JP"/>
              </w:rPr>
            </w:pP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 xml:space="preserve">In addition, if RAN2 decide to include enabling/disabling via MAC-CE, then </w:t>
            </w:r>
            <w:r>
              <w:rPr>
                <w:rFonts w:eastAsia="Malgun Gothic"/>
                <w:lang w:eastAsia="ko-KR"/>
              </w:rPr>
              <w:lastRenderedPageBreak/>
              <w:t>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B22A29" w14:paraId="7E63DEC7"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77777777" w:rsidR="00B22A29" w:rsidRDefault="00B22A29" w:rsidP="006E0F33">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77777777" w:rsidR="00B22A29" w:rsidRDefault="00B22A29" w:rsidP="006E0F33">
            <w:pPr>
              <w:snapToGrid w:val="0"/>
              <w:rPr>
                <w:rFonts w:eastAsia="MS Mincho"/>
                <w:lang w:eastAsia="zh-CN"/>
              </w:rPr>
            </w:pP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 xml:space="preserve">the situation in proposal 3 could be configurable by using disabling per HARQ processes. Thus, it might be up to network </w:t>
            </w:r>
            <w:r>
              <w:rPr>
                <w:rFonts w:eastAsia="Malgun Gothic"/>
                <w:lang w:eastAsia="ko-KR"/>
              </w:rPr>
              <w:lastRenderedPageBreak/>
              <w:t>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B22A29"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7777777" w:rsidR="00B22A29" w:rsidRDefault="00B22A29" w:rsidP="006E0F33">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77777777" w:rsidR="00B22A29" w:rsidRDefault="00B22A29" w:rsidP="006E0F33">
            <w:pPr>
              <w:snapToGrid w:val="0"/>
              <w:rPr>
                <w:lang w:eastAsia="zh-CN"/>
              </w:rPr>
            </w:pP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B22A29"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777777" w:rsidR="00B22A29" w:rsidRDefault="00B22A29" w:rsidP="006E0F33">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77777777" w:rsidR="00B22A29" w:rsidRDefault="00B22A29" w:rsidP="006E0F33">
            <w:pPr>
              <w:snapToGrid w:val="0"/>
              <w:rPr>
                <w:rFonts w:eastAsia="MS Mincho"/>
                <w:lang w:eastAsia="zh-CN"/>
              </w:rPr>
            </w:pP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E01D82">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B22A29"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77777777" w:rsidR="00B22A29" w:rsidRDefault="00B22A29" w:rsidP="006E0F33">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A53AFA6" w14:textId="77777777" w:rsidR="00B22A29" w:rsidRDefault="00B22A29" w:rsidP="006E0F33">
            <w:pPr>
              <w:snapToGrid w:val="0"/>
              <w:ind w:left="360"/>
              <w:rPr>
                <w:rFonts w:eastAsia="MS Mincho"/>
                <w:lang w:eastAsia="zh-CN"/>
              </w:rPr>
            </w:pP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lastRenderedPageBreak/>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8"/>
        <w:gridCol w:w="6729"/>
        <w:gridCol w:w="111"/>
      </w:tblGrid>
      <w:tr w:rsidR="00EA0329" w14:paraId="1B41F00D"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58" w:type="dxa"/>
            <w:gridSpan w:val="3"/>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 xml:space="preserve">Potential support for proposal 6. Only for cases where there is a substantial </w:t>
            </w:r>
            <w:r>
              <w:lastRenderedPageBreak/>
              <w:t>gain/benefit for a given enhancement, it should be considered. Such considerations would need defining assumptions and conditions for evaluations.</w:t>
            </w:r>
          </w:p>
        </w:tc>
      </w:tr>
      <w:tr w:rsidR="00517CA7" w14:paraId="3798A54E"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lastRenderedPageBreak/>
              <w:t>Thales</w:t>
            </w:r>
          </w:p>
        </w:tc>
        <w:tc>
          <w:tcPr>
            <w:tcW w:w="6858" w:type="dxa"/>
            <w:gridSpan w:val="3"/>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126341">
        <w:trPr>
          <w:jc w:val="center"/>
        </w:trPr>
        <w:tc>
          <w:tcPr>
            <w:tcW w:w="2317"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58" w:type="dxa"/>
            <w:gridSpan w:val="3"/>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126341">
        <w:trPr>
          <w:gridAfter w:val="1"/>
          <w:wAfter w:w="111" w:type="dxa"/>
          <w:jc w:val="center"/>
        </w:trPr>
        <w:tc>
          <w:tcPr>
            <w:tcW w:w="2317"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2C3DA2">
            <w:pPr>
              <w:jc w:val="center"/>
              <w:rPr>
                <w:rFonts w:eastAsia="Malgun Gothic" w:cs="Arial"/>
                <w:lang w:eastAsia="ko-KR"/>
              </w:rPr>
            </w:pPr>
            <w:r>
              <w:rPr>
                <w:rFonts w:eastAsia="Malgun Gothic" w:cs="Arial"/>
                <w:lang w:eastAsia="ko-KR"/>
              </w:rPr>
              <w:t>Ligado</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2C3DA2">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E01D82">
        <w:trPr>
          <w:jc w:val="center"/>
        </w:trPr>
        <w:tc>
          <w:tcPr>
            <w:tcW w:w="2335" w:type="dxa"/>
            <w:gridSpan w:val="2"/>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E01D82">
            <w:pPr>
              <w:jc w:val="center"/>
              <w:rPr>
                <w:rFonts w:cs="Arial"/>
                <w:color w:val="833C0B" w:themeColor="accent2" w:themeShade="80"/>
              </w:rPr>
            </w:pPr>
            <w:r>
              <w:rPr>
                <w:rFonts w:cs="Arial"/>
                <w:color w:val="833C0B" w:themeColor="accent2" w:themeShade="80"/>
              </w:rPr>
              <w:t>Eutelsat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E01D82">
            <w:pPr>
              <w:snapToGrid w:val="0"/>
              <w:rPr>
                <w:color w:val="833C0B" w:themeColor="accent2" w:themeShade="80"/>
              </w:rPr>
            </w:pPr>
            <w:r>
              <w:rPr>
                <w:color w:val="833C0B" w:themeColor="accent2" w:themeShade="80"/>
              </w:rPr>
              <w:t>Support proposal 6.</w:t>
            </w:r>
          </w:p>
        </w:tc>
      </w:tr>
      <w:tr w:rsidR="00B22A29" w14:paraId="1B9E6B91" w14:textId="77777777" w:rsidTr="00126341">
        <w:trPr>
          <w:gridAfter w:val="1"/>
          <w:wAfter w:w="111" w:type="dxa"/>
          <w:jc w:val="center"/>
        </w:trPr>
        <w:tc>
          <w:tcPr>
            <w:tcW w:w="2317" w:type="dxa"/>
            <w:tcBorders>
              <w:top w:val="single" w:sz="4" w:space="0" w:color="auto"/>
              <w:left w:val="single" w:sz="4" w:space="0" w:color="auto"/>
              <w:bottom w:val="single" w:sz="4" w:space="0" w:color="auto"/>
              <w:right w:val="single" w:sz="4" w:space="0" w:color="auto"/>
            </w:tcBorders>
            <w:vAlign w:val="center"/>
          </w:tcPr>
          <w:p w14:paraId="1EA1B9D6" w14:textId="77777777" w:rsidR="00B22A29" w:rsidRDefault="00B22A29" w:rsidP="002C3DA2">
            <w:pPr>
              <w:jc w:val="center"/>
              <w:rPr>
                <w:rFonts w:eastAsia="Malgun Gothic" w:cs="Arial"/>
                <w:lang w:eastAsia="ko-KR"/>
              </w:rPr>
            </w:pP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3D630AB4" w14:textId="77777777" w:rsidR="00B22A29" w:rsidRDefault="00B22A29" w:rsidP="002C3DA2">
            <w:pPr>
              <w:overflowPunct/>
              <w:autoSpaceDE/>
              <w:autoSpaceDN/>
              <w:adjustRightInd/>
              <w:spacing w:after="0"/>
              <w:textAlignment w:val="auto"/>
              <w:rPr>
                <w:lang w:eastAsia="zh-CN"/>
              </w:rPr>
            </w:pP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E01D82">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E01D82">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E01D82">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B22A29"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77777777" w:rsidR="00B22A29" w:rsidRDefault="00B22A29" w:rsidP="006E0F33">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77777777" w:rsidR="00B22A29" w:rsidRDefault="00B22A29" w:rsidP="006E0F33">
            <w:pPr>
              <w:snapToGrid w:val="0"/>
              <w:rPr>
                <w:lang w:eastAsia="zh-CN"/>
              </w:rPr>
            </w:pP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proofErr w:type="gramStart"/>
      <w:r>
        <w:rPr>
          <w:rFonts w:ascii="Times New Roman" w:eastAsia="MS Gothic" w:hAnsi="Times New Roman"/>
          <w:b/>
          <w:kern w:val="28"/>
          <w:sz w:val="24"/>
          <w:lang w:val="en-US" w:eastAsia="ja-JP"/>
        </w:rPr>
        <w:t>Misc.</w:t>
      </w:r>
      <w:proofErr w:type="gramEnd"/>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lastRenderedPageBreak/>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E01D82">
            <w:pPr>
              <w:snapToGrid w:val="0"/>
              <w:rPr>
                <w:lang w:eastAsia="zh-CN"/>
              </w:rPr>
            </w:pPr>
            <w:r>
              <w:rPr>
                <w:rFonts w:eastAsia="Malgun Gothic"/>
                <w:color w:val="833C0B" w:themeColor="accent2" w:themeShade="80"/>
                <w:lang w:eastAsia="ko-KR"/>
              </w:rPr>
              <w:t>No strong opinion – further detail of proposal desirable.</w:t>
            </w:r>
          </w:p>
        </w:tc>
      </w:tr>
      <w:tr w:rsidR="00B22A29" w14:paraId="329ED9B3"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77777777" w:rsidR="00B22A29" w:rsidRDefault="00B22A29" w:rsidP="006E0F33">
            <w:pPr>
              <w:jc w:val="center"/>
              <w:rPr>
                <w:rFonts w:eastAsia="MS Mincho" w:cs="Arial"/>
                <w:lang w:eastAsia="zh-CN"/>
              </w:rPr>
            </w:pPr>
            <w:bookmarkStart w:id="2" w:name="_GoBack"/>
            <w:bookmarkEnd w:id="2"/>
          </w:p>
        </w:tc>
        <w:tc>
          <w:tcPr>
            <w:tcW w:w="6840" w:type="dxa"/>
            <w:tcBorders>
              <w:top w:val="single" w:sz="4" w:space="0" w:color="auto"/>
              <w:left w:val="single" w:sz="4" w:space="0" w:color="auto"/>
              <w:bottom w:val="single" w:sz="4" w:space="0" w:color="auto"/>
              <w:right w:val="single" w:sz="4" w:space="0" w:color="auto"/>
            </w:tcBorders>
            <w:vAlign w:val="center"/>
          </w:tcPr>
          <w:p w14:paraId="7B3EC880" w14:textId="77777777" w:rsidR="00B22A29" w:rsidRDefault="00B22A29" w:rsidP="006E0F33">
            <w:pPr>
              <w:snapToGrid w:val="0"/>
            </w:pPr>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lastRenderedPageBreak/>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Ka-Band scenario with FR3 and 10 UEs per cell and LOS </w:t>
            </w:r>
            <w:r w:rsidRPr="004F3F81">
              <w:rPr>
                <w:lang w:eastAsia="ja-JP"/>
              </w:rPr>
              <w:lastRenderedPageBreak/>
              <w:t>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lastRenderedPageBreak/>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lastRenderedPageBreak/>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lastRenderedPageBreak/>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lastRenderedPageBreak/>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lastRenderedPageBreak/>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lastRenderedPageBreak/>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4DA4D" w14:textId="77777777" w:rsidR="00FF733C" w:rsidRDefault="00FF733C">
      <w:pPr>
        <w:spacing w:after="0"/>
      </w:pPr>
      <w:r>
        <w:separator/>
      </w:r>
    </w:p>
  </w:endnote>
  <w:endnote w:type="continuationSeparator" w:id="0">
    <w:p w14:paraId="506BDCD4" w14:textId="77777777" w:rsidR="00FF733C" w:rsidRDefault="00FF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B22A29">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2A29">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781E" w14:textId="77777777" w:rsidR="00836A16" w:rsidRDefault="0083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D0291" w14:textId="77777777" w:rsidR="00FF733C" w:rsidRDefault="00FF733C">
      <w:pPr>
        <w:spacing w:after="0"/>
      </w:pPr>
      <w:r>
        <w:separator/>
      </w:r>
    </w:p>
  </w:footnote>
  <w:footnote w:type="continuationSeparator" w:id="0">
    <w:p w14:paraId="1FB64792" w14:textId="77777777" w:rsidR="00FF733C" w:rsidRDefault="00FF73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64B1" w14:textId="77777777" w:rsidR="00836A16" w:rsidRDefault="00836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8A23" w14:textId="77777777" w:rsidR="00836A16" w:rsidRDefault="00836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F62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cc9c437c-ae0c-4066-8d90-a0f7de786127"/>
    <ds:schemaRef ds:uri="ba37140e-f4c5-4a6c-a9b4-20a691ce6c8a"/>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0EECB-6A46-4658-B95F-2CAE0245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9665</Words>
  <Characters>51421</Characters>
  <Application>Microsoft Office Word</Application>
  <DocSecurity>0</DocSecurity>
  <Lines>428</Lines>
  <Paragraphs>121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60965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el moumouhi sanaa</cp:lastModifiedBy>
  <cp:revision>3</cp:revision>
  <cp:lastPrinted>2011-11-09T07:49:00Z</cp:lastPrinted>
  <dcterms:created xsi:type="dcterms:W3CDTF">2020-08-19T20:05:00Z</dcterms:created>
  <dcterms:modified xsi:type="dcterms:W3CDTF">2020-08-19T20:09:00Z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0x010100EB28163D68FE8E4D9361964FDD814FC4</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