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18ABA6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102-E</w:t>
      </w:r>
      <w:r w:rsidR="000A50D3">
        <w:rPr>
          <w:rFonts w:cs="Arial"/>
          <w:sz w:val="22"/>
        </w:rPr>
        <w:t xml:space="preserve">                                                                                                     </w:t>
      </w:r>
      <w:r w:rsidR="00D425F2">
        <w:rPr>
          <w:rFonts w:cs="Arial"/>
          <w:sz w:val="22"/>
        </w:rPr>
        <w:t>R1-</w:t>
      </w:r>
      <w:r>
        <w:rPr>
          <w:rFonts w:cs="Arial"/>
          <w:sz w:val="22"/>
        </w:rPr>
        <w:t>20</w:t>
      </w:r>
      <w:r w:rsidR="000A2EEC">
        <w:rPr>
          <w:rFonts w:cs="Arial"/>
          <w:sz w:val="22"/>
        </w:rPr>
        <w:t>0</w:t>
      </w:r>
      <w:r w:rsidR="00B32579">
        <w:rPr>
          <w:rFonts w:cs="Arial"/>
          <w:sz w:val="22"/>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afa"/>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2FB0F239" w:rsidR="002B33B9" w:rsidRDefault="005167CD"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eastAsia="ko-KR"/>
        </w:rPr>
        <mc:AlternateContent>
          <mc:Choice Requires="wps">
            <w:drawing>
              <wp:anchor distT="45720" distB="45720" distL="114300" distR="114300" simplePos="0" relativeHeight="251659264" behindDoc="0" locked="0" layoutInCell="1" allowOverlap="1" wp14:anchorId="63A167F9" wp14:editId="43A38432">
                <wp:simplePos x="0" y="0"/>
                <wp:positionH relativeFrom="column">
                  <wp:posOffset>368935</wp:posOffset>
                </wp:positionH>
                <wp:positionV relativeFrom="paragraph">
                  <wp:posOffset>311150</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6"/>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9.05pt;margin-top:24.5pt;width:476.85pt;height:27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">
                <v:textbo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0"/>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6"/>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46D8F3E6"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afa"/>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afa"/>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afa"/>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D76A2B">
            <w:pPr>
              <w:jc w:val="center"/>
              <w:rPr>
                <w:rFonts w:cs="Arial"/>
                <w:lang w:eastAsia="zh-CN"/>
              </w:rPr>
            </w:pPr>
            <w:r>
              <w:rPr>
                <w:rFonts w:eastAsia="맑은 고딕"/>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D76A2B">
            <w:pPr>
              <w:snapToGrid w:val="0"/>
              <w:ind w:left="360"/>
              <w:rPr>
                <w:rFonts w:eastAsia="맑은 고딕"/>
                <w:lang w:eastAsia="ko-KR"/>
              </w:rPr>
            </w:pPr>
            <w:r>
              <w:rPr>
                <w:rFonts w:eastAsia="맑은 고딕"/>
                <w:lang w:eastAsia="ko-KR"/>
              </w:rPr>
              <w:t>Not support.</w:t>
            </w:r>
          </w:p>
          <w:p w14:paraId="1C2B2D6D" w14:textId="7294722D" w:rsidR="00031D7C" w:rsidRDefault="00031D7C" w:rsidP="00E90044">
            <w:pPr>
              <w:snapToGrid w:val="0"/>
              <w:ind w:left="360"/>
              <w:rPr>
                <w:lang w:eastAsia="zh-CN"/>
              </w:rPr>
            </w:pPr>
            <w:r>
              <w:rPr>
                <w:rFonts w:eastAsia="맑은 고딕"/>
                <w:lang w:eastAsia="ko-KR"/>
              </w:rPr>
              <w:t xml:space="preserve">In our view, we are not sure about the necessity of proposal 1. The throughput reduction owing to HARQ stalling might be compensated by disabling HARQ feedback, and </w:t>
            </w:r>
            <w:r w:rsidRPr="00710F20">
              <w:rPr>
                <w:rFonts w:eastAsia="맑은 고딕"/>
                <w:lang w:eastAsia="ko-KR"/>
              </w:rPr>
              <w:t>subsequently</w:t>
            </w:r>
            <w:r>
              <w:rPr>
                <w:rFonts w:eastAsia="맑은 고딕"/>
                <w:lang w:eastAsia="ko-KR"/>
              </w:rPr>
              <w:t xml:space="preserve">, the reliability degradation with HARQ feedback disabled might be mitigated by using multiple transmissions in a bundle (e.g. slot aggregation) </w:t>
            </w:r>
          </w:p>
        </w:tc>
      </w:tr>
    </w:tbl>
    <w:p w14:paraId="34D6899C" w14:textId="72605622" w:rsidR="00F167DA" w:rsidRDefault="00F167DA" w:rsidP="00F167D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eastAsia="ko-KR"/>
        </w:rPr>
        <w:lastRenderedPageBreak/>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DF50ED" w:rsidRDefault="00DF50ED"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DF50ED" w:rsidRDefault="00DF50ED"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DF50ED">
            <w:pPr>
              <w:snapToGrid w:val="0"/>
              <w:rPr>
                <w:lang w:eastAsia="zh-CN"/>
              </w:rPr>
            </w:pPr>
            <w:r>
              <w:rPr>
                <w:lang w:eastAsia="zh-CN"/>
              </w:rPr>
              <w:t>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맑은 고딕"/>
                <w:lang w:eastAsia="ko-KR"/>
              </w:rPr>
            </w:pPr>
            <w:r>
              <w:rPr>
                <w:rFonts w:eastAsia="맑은 고딕"/>
                <w:lang w:eastAsia="ko-KR"/>
              </w:rPr>
              <w:t>Support proposal 2.</w:t>
            </w:r>
          </w:p>
          <w:p w14:paraId="4F7B37CF" w14:textId="099695C9" w:rsidR="00313BE0" w:rsidRDefault="00313BE0" w:rsidP="00313BE0">
            <w:pPr>
              <w:snapToGrid w:val="0"/>
            </w:pPr>
            <w:r>
              <w:rPr>
                <w:rFonts w:eastAsia="맑은 고딕"/>
                <w:lang w:eastAsia="ko-KR"/>
              </w:rPr>
              <w:t>In addition, if RAN2 decide to include enabling/disabling via MAC-CE, then enabling/disabling HARQ feedback via MAC-CE might be also considered for dynamic operation.</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lastRenderedPageBreak/>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맑은 고딕"/>
                <w:lang w:eastAsia="ko-KR"/>
              </w:rPr>
            </w:pPr>
            <w:r>
              <w:rPr>
                <w:rFonts w:eastAsia="맑은 고딕"/>
                <w:lang w:eastAsia="ko-KR"/>
              </w:rPr>
              <w:t>Not support.</w:t>
            </w:r>
          </w:p>
          <w:p w14:paraId="33DC1E4A" w14:textId="5F58C8D3" w:rsidR="00313BE0" w:rsidRDefault="00313BE0" w:rsidP="00313BE0">
            <w:pPr>
              <w:snapToGrid w:val="0"/>
              <w:rPr>
                <w:lang w:eastAsia="zh-CN"/>
              </w:rPr>
            </w:pPr>
            <w:r>
              <w:rPr>
                <w:rFonts w:eastAsia="맑은 고딕"/>
                <w:lang w:eastAsia="ko-KR"/>
              </w:rPr>
              <w:t>In our view, the necessity of proposal 3 is not clear.</w:t>
            </w:r>
            <w:r>
              <w:rPr>
                <w:rFonts w:eastAsia="맑은 고딕"/>
                <w:lang w:eastAsia="ko-KR"/>
              </w:rPr>
              <w:t xml:space="preserve"> </w:t>
            </w:r>
            <w:r>
              <w:rPr>
                <w:rFonts w:eastAsia="맑은 고딕"/>
                <w:lang w:eastAsia="ko-KR"/>
              </w:rPr>
              <w:t>According to TR38.821, it has been already agreed that e</w:t>
            </w:r>
            <w:r>
              <w:rPr>
                <w:rFonts w:eastAsia="맑은 고딕" w:hint="eastAsia"/>
                <w:lang w:eastAsia="ko-KR"/>
              </w:rPr>
              <w:t>nabling/</w:t>
            </w:r>
            <w:r>
              <w:rPr>
                <w:rFonts w:eastAsia="맑은 고딕"/>
                <w:lang w:eastAsia="ko-KR"/>
              </w:rPr>
              <w:t>d</w:t>
            </w:r>
            <w:r>
              <w:rPr>
                <w:rFonts w:eastAsia="맑은 고딕" w:hint="eastAsia"/>
                <w:lang w:eastAsia="ko-KR"/>
              </w:rPr>
              <w:t xml:space="preserve">isabling HARQ feedback is </w:t>
            </w:r>
            <w:r>
              <w:rPr>
                <w:rFonts w:eastAsia="맑은 고딕"/>
                <w:lang w:eastAsia="ko-KR"/>
              </w:rPr>
              <w:t xml:space="preserve">a </w:t>
            </w:r>
            <w:r>
              <w:rPr>
                <w:rFonts w:eastAsia="맑은 고딕" w:hint="eastAsia"/>
                <w:lang w:eastAsia="ko-KR"/>
              </w:rPr>
              <w:t>network decision</w:t>
            </w:r>
            <w:r>
              <w:rPr>
                <w:rFonts w:eastAsia="맑은 고딕"/>
                <w:lang w:eastAsia="ko-KR"/>
              </w:rPr>
              <w:t>.</w:t>
            </w:r>
            <w:r>
              <w:rPr>
                <w:rFonts w:eastAsia="맑은 고딕" w:hint="eastAsia"/>
                <w:lang w:eastAsia="ko-KR"/>
              </w:rPr>
              <w:t xml:space="preserve"> </w:t>
            </w:r>
            <w:r>
              <w:rPr>
                <w:rFonts w:eastAsia="맑은 고딕"/>
                <w:lang w:eastAsia="ko-KR"/>
              </w:rPr>
              <w:t xml:space="preserve">Furthermore, </w:t>
            </w:r>
            <w:r w:rsidR="004E1133">
              <w:rPr>
                <w:rFonts w:eastAsia="맑은 고딕"/>
                <w:lang w:eastAsia="ko-KR"/>
              </w:rPr>
              <w:t xml:space="preserve">if needed, </w:t>
            </w:r>
            <w:bookmarkStart w:id="2" w:name="_GoBack"/>
            <w:bookmarkEnd w:id="2"/>
            <w:r>
              <w:rPr>
                <w:rFonts w:eastAsia="맑은 고딕"/>
                <w:lang w:eastAsia="ko-KR"/>
              </w:rPr>
              <w:t>the situation in proposal 3 could be configurable by using disabling per HARQ processes. Thus, it might be up to network implementation.</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 xml:space="preserve">It is not clear to us whether different parameters are actually needed for HARQ </w:t>
            </w:r>
            <w:r>
              <w:rPr>
                <w:rFonts w:eastAsiaTheme="minorEastAsia"/>
                <w:lang w:eastAsia="zh-CN"/>
              </w:rPr>
              <w:lastRenderedPageBreak/>
              <w:t>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맑은 고딕"/>
                <w:lang w:eastAsia="ko-KR"/>
              </w:rPr>
            </w:pPr>
            <w:r>
              <w:rPr>
                <w:rFonts w:eastAsia="맑은 고딕" w:hint="eastAsia"/>
                <w:lang w:eastAsia="ko-KR"/>
              </w:rPr>
              <w:t xml:space="preserve">Support </w:t>
            </w:r>
            <w:r>
              <w:rPr>
                <w:rFonts w:eastAsia="맑은 고딕"/>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맑은 고딕"/>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bl>
    <w:p w14:paraId="6390929E" w14:textId="4911080D" w:rsidR="00EC2AB3" w:rsidRPr="008335F9" w:rsidRDefault="00B063C1">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Default="00782D5E" w:rsidP="00922D1C">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Default="00285404" w:rsidP="00922D1C">
            <w:pPr>
              <w:jc w:val="center"/>
              <w:rPr>
                <w:rFonts w:eastAsiaTheme="minorEastAsia" w:cs="Arial"/>
                <w:lang w:eastAsia="zh-CN"/>
              </w:rPr>
            </w:pPr>
            <w:r>
              <w:rPr>
                <w:rFonts w:eastAsiaTheme="minorEastAsia"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DC50A2">
              <w:rPr>
                <w:rFonts w:eastAsiaTheme="minorEastAsia" w:cs="Arial"/>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bl>
    <w:p w14:paraId="20FC838C" w14:textId="157D2CE3" w:rsidR="00EA0329" w:rsidRPr="008335F9" w:rsidRDefault="00CB0374" w:rsidP="00EA0329">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ac"/>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ac"/>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ac"/>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ac"/>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A0329" w14:paraId="1B41F0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40" w:type="dxa"/>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afa"/>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afa"/>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afa"/>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bl>
    <w:p w14:paraId="61A7AE89" w14:textId="1B6E1448" w:rsidR="00F443FF" w:rsidRDefault="00B357C2" w:rsidP="00F443FF">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ac"/>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ac"/>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bl>
    <w:p w14:paraId="3C6B3FD0" w14:textId="6C7DAA60" w:rsidR="003C12F3" w:rsidRPr="0066198A" w:rsidRDefault="003C12F3" w:rsidP="003C12F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맑은 고딕"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맑은 고딕"/>
                <w:lang w:eastAsia="ko-KR"/>
              </w:rPr>
            </w:pPr>
            <w:r>
              <w:rPr>
                <w:rFonts w:eastAsia="맑은 고딕"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맑은 고딕"/>
                <w:lang w:eastAsia="ko-KR"/>
              </w:rPr>
              <w:t>In our view, the accuracy of pre-active ACK/NACK is not clear. Furthermore, critical specification impacts on RAN1, as well as RAN2, might be expected for correcting false pre-active ACK.</w:t>
            </w:r>
          </w:p>
        </w:tc>
      </w:tr>
    </w:tbl>
    <w:p w14:paraId="7E20BE1A" w14:textId="4F98A481" w:rsidR="00D05E98" w:rsidRDefault="00C746A8" w:rsidP="00D05E98">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afa"/>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afa"/>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afa"/>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afa"/>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bl>
    <w:p w14:paraId="4DFC9799" w14:textId="77777777" w:rsidR="00697A4A" w:rsidRPr="00697A4A"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 xml:space="preserve">For 15UEs per cell and a scheduling of 3UEs per TTI, the 50%-tile UL UE throughput </w:t>
            </w:r>
            <w:r w:rsidRPr="004F3F81">
              <w:rPr>
                <w:lang w:eastAsia="ja-JP"/>
              </w:rPr>
              <w:lastRenderedPageBreak/>
              <w:t>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 xml:space="preserve">Considering a GEO Ka-Band scenario with FR3 and 10 LOS UEs per cell, the 5%-tile of the TP per UE increases from 8.4Mbit/s to 9.2Mbit/s if a PHY BLER target of 2% </w:t>
            </w:r>
            <w:r w:rsidRPr="004F3F81">
              <w:rPr>
                <w:lang w:eastAsia="ja-JP"/>
              </w:rPr>
              <w:lastRenderedPageBreak/>
              <w:t>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ac"/>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ac"/>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ac"/>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afa"/>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afa"/>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afa"/>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afa"/>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afa"/>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 xml:space="preserve">Proposal 3: Enabling/disabling of HARQ feedback in per UE, per HARQ process and per LCH should be </w:t>
            </w:r>
            <w:r w:rsidRPr="004F3F81">
              <w:rPr>
                <w:lang w:eastAsia="zh-CN"/>
              </w:rPr>
              <w:lastRenderedPageBreak/>
              <w:t>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ac"/>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맑은 고딕"/>
              </w:rPr>
            </w:pPr>
            <w:r w:rsidRPr="004F3F81">
              <w:rPr>
                <w:rFonts w:eastAsia="맑은 고딕"/>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맑은 고딕"/>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ac"/>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ac"/>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lastRenderedPageBreak/>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afa"/>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afa"/>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afa"/>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The</w:t>
            </w:r>
            <w:r w:rsidRPr="004F3F81">
              <w:rPr>
                <w:rStyle w:val="af6"/>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 xml:space="preserve">When HARQ processes are enabled/disabled on a per HARQ process basis, in the case of </w:t>
            </w:r>
            <w:r w:rsidRPr="004F3F81">
              <w:rPr>
                <w:rStyle w:val="af6"/>
                <w:rFonts w:ascii="Times New Roman" w:hAnsi="Times New Roman" w:cs="Times New Roman"/>
                <w:b w:val="0"/>
                <w:noProof/>
                <w:color w:val="000000" w:themeColor="text1"/>
                <w:sz w:val="20"/>
                <w:szCs w:val="20"/>
                <w:u w:val="none"/>
              </w:rPr>
              <w:lastRenderedPageBreak/>
              <w:t>the NR Type-2 HARQ codebook, the total DAI (if present) indicates the sum of all the scheduled PDCCHs associated with feedback enabled HARQ process.</w:t>
            </w:r>
          </w:p>
          <w:p w14:paraId="19ACC94C" w14:textId="0AA34E43" w:rsidR="00DC375A"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af6"/>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ff0"/>
              <w:tabs>
                <w:tab w:val="right" w:leader="dot" w:pos="9629"/>
              </w:tabs>
              <w:adjustRightInd w:val="0"/>
              <w:snapToGrid w:val="0"/>
              <w:spacing w:after="0"/>
              <w:jc w:val="both"/>
              <w:rPr>
                <w:rFonts w:ascii="Times New Roman" w:hAnsi="Times New Roman" w:cs="Times New Roman"/>
                <w:b w:val="0"/>
                <w:sz w:val="20"/>
                <w:szCs w:val="20"/>
              </w:rPr>
            </w:pPr>
            <w:r w:rsidRPr="004F3F81">
              <w:rPr>
                <w:rStyle w:val="af6"/>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af6"/>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afa"/>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afa"/>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afa"/>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6CA9A" w14:textId="77777777" w:rsidR="00265628" w:rsidRDefault="00265628">
      <w:pPr>
        <w:spacing w:after="0"/>
      </w:pPr>
      <w:r>
        <w:separator/>
      </w:r>
    </w:p>
  </w:endnote>
  <w:endnote w:type="continuationSeparator" w:id="0">
    <w:p w14:paraId="3EC3E920" w14:textId="77777777" w:rsidR="00265628" w:rsidRDefault="002656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DF50ED" w:rsidRDefault="00DF50ED">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DF50ED" w:rsidRDefault="00DF50E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44840BE8" w:rsidR="00DF50ED" w:rsidRDefault="00DF50ED">
    <w:pPr>
      <w:pStyle w:val="ae"/>
      <w:ind w:right="360"/>
    </w:pPr>
    <w:r>
      <w:rPr>
        <w:rStyle w:val="af3"/>
      </w:rPr>
      <w:fldChar w:fldCharType="begin"/>
    </w:r>
    <w:r>
      <w:rPr>
        <w:rStyle w:val="af3"/>
      </w:rPr>
      <w:instrText xml:space="preserve"> PAGE </w:instrText>
    </w:r>
    <w:r>
      <w:rPr>
        <w:rStyle w:val="af3"/>
      </w:rPr>
      <w:fldChar w:fldCharType="separate"/>
    </w:r>
    <w:r w:rsidR="004E1133">
      <w:rPr>
        <w:rStyle w:val="af3"/>
        <w:noProof/>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E1133">
      <w:rPr>
        <w:rStyle w:val="af3"/>
        <w:noProof/>
      </w:rPr>
      <w:t>18</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7ADEF" w14:textId="77777777" w:rsidR="00265628" w:rsidRDefault="00265628">
      <w:pPr>
        <w:spacing w:after="0"/>
      </w:pPr>
      <w:r>
        <w:separator/>
      </w:r>
    </w:p>
  </w:footnote>
  <w:footnote w:type="continuationSeparator" w:id="0">
    <w:p w14:paraId="47DC161A" w14:textId="77777777" w:rsidR="00265628" w:rsidRDefault="002656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DF50ED" w:rsidRDefault="00DF50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1"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8"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19"/>
  </w:num>
  <w:num w:numId="11">
    <w:abstractNumId w:val="11"/>
  </w:num>
  <w:num w:numId="12">
    <w:abstractNumId w:val="4"/>
  </w:num>
  <w:num w:numId="13">
    <w:abstractNumId w:val="2"/>
  </w:num>
  <w:num w:numId="14">
    <w:abstractNumId w:val="21"/>
  </w:num>
  <w:num w:numId="15">
    <w:abstractNumId w:val="22"/>
  </w:num>
  <w:num w:numId="16">
    <w:abstractNumId w:val="3"/>
  </w:num>
  <w:num w:numId="17">
    <w:abstractNumId w:val="14"/>
  </w:num>
  <w:num w:numId="18">
    <w:abstractNumId w:val="16"/>
  </w:num>
  <w:num w:numId="19">
    <w:abstractNumId w:val="17"/>
  </w:num>
  <w:num w:numId="20">
    <w:abstractNumId w:val="18"/>
  </w:num>
  <w:num w:numId="21">
    <w:abstractNumId w:val="10"/>
  </w:num>
  <w:num w:numId="22">
    <w:abstractNumId w:val="13"/>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62D2F5"/>
  <w15:docId w15:val="{7C056AD3-DFB4-472C-9B58-EDCD9001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リスト段落,列表段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각주 텍스트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3C935C4E-A092-4131-B07D-9B21E724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18</Pages>
  <Words>7893</Words>
  <Characters>44996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ETRI</cp:lastModifiedBy>
  <cp:revision>13</cp:revision>
  <cp:lastPrinted>2011-11-09T07:49:00Z</cp:lastPrinted>
  <dcterms:created xsi:type="dcterms:W3CDTF">2020-08-19T14:25:00Z</dcterms:created>
  <dcterms:modified xsi:type="dcterms:W3CDTF">2020-08-19T14:48:00Z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