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en-GB"/>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w:t>
                            </w:r>
                            <w:proofErr w:type="spellStart"/>
                            <w:r w:rsidRPr="002C0E93">
                              <w:rPr>
                                <w:sz w:val="20"/>
                              </w:rPr>
                              <w:t>ServingCellConfig</w:t>
                            </w:r>
                            <w:proofErr w:type="spellEnd"/>
                            <w:r w:rsidRPr="002C0E93">
                              <w:rPr>
                                <w:sz w:val="20"/>
                              </w:rPr>
                              <w:t xml:space="preserve">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w:t>
                      </w:r>
                      <w:proofErr w:type="spellStart"/>
                      <w:r w:rsidRPr="002C0E93">
                        <w:rPr>
                          <w:sz w:val="20"/>
                        </w:rPr>
                        <w:t>ServingCellConfig</w:t>
                      </w:r>
                      <w:proofErr w:type="spellEnd"/>
                      <w:r w:rsidRPr="002C0E93">
                        <w:rPr>
                          <w:sz w:val="20"/>
                        </w:rPr>
                        <w:t xml:space="preserve">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xml:space="preserve">) and potential scheduling with larger SCS (e.g., SCS = 30 </w:t>
      </w:r>
      <w:proofErr w:type="spellStart"/>
      <w:r w:rsidR="000346D1">
        <w:rPr>
          <w:rFonts w:eastAsiaTheme="minorEastAsia"/>
          <w:lang w:val="en-US" w:eastAsia="zh-CN"/>
        </w:rPr>
        <w:t>KHz</w:t>
      </w:r>
      <w:proofErr w:type="spellEnd"/>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w:t>
            </w:r>
            <w:bookmarkStart w:id="2" w:name="_GoBack"/>
            <w:bookmarkEnd w:id="2"/>
            <w:r w:rsidRPr="00285404">
              <w:rPr>
                <w:rFonts w:eastAsiaTheme="minorEastAsia"/>
                <w:lang w:eastAsia="zh-CN"/>
              </w:rPr>
              <w:t xml:space="preserve">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en-GB"/>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 xml:space="preserve">If MAC CE is allowed to be scheduled with both HARQ feedback enabled and disabled processes, then two MAC CE action timings may need to be </w:t>
            </w:r>
            <w:r w:rsidRPr="56CBE526">
              <w:rPr>
                <w:rFonts w:eastAsia="Times New Roman"/>
                <w:color w:val="333333"/>
                <w:sz w:val="21"/>
                <w:szCs w:val="21"/>
                <w:lang w:eastAsia="zh-CN"/>
              </w:rPr>
              <w:lastRenderedPageBreak/>
              <w:t>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lastRenderedPageBreak/>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lastRenderedPageBreak/>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 xml:space="preserve">For handling the larger RTT for ACK/NACK feedback, enhancement as pre-active feedback [Huawei] is proposed. And in this way, the ACK/NACK will be feedback to </w:t>
            </w:r>
            <w:proofErr w:type="spellStart"/>
            <w:r w:rsidRPr="00730597">
              <w:rPr>
                <w:rFonts w:ascii="Times New Roman" w:eastAsiaTheme="minorEastAsia" w:hAnsi="Times New Roman"/>
                <w:sz w:val="20"/>
                <w:szCs w:val="20"/>
                <w:lang w:eastAsia="zh-CN"/>
              </w:rPr>
              <w:t>gNB</w:t>
            </w:r>
            <w:proofErr w:type="spellEnd"/>
            <w:r w:rsidRPr="00730597">
              <w:rPr>
                <w:rFonts w:ascii="Times New Roman" w:eastAsiaTheme="minorEastAsia" w:hAnsi="Times New Roman"/>
                <w:sz w:val="20"/>
                <w:szCs w:val="20"/>
                <w:lang w:eastAsia="zh-CN"/>
              </w:rPr>
              <w:t xml:space="preserve">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lastRenderedPageBreak/>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 xml:space="preserve">The probability of an RLC error rate per UE larger than 2% is 0.8% if a PHY BLER </w:t>
            </w:r>
            <w:r w:rsidRPr="004F3F81">
              <w:lastRenderedPageBreak/>
              <w:t>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7: The HARQ parameters for each pool can be configured differently to ensure adequate reliability – i.e. Block error rate target, MCS table, aggregation factor, Time Domain and Frequency Domain resource </w:t>
            </w:r>
            <w:r w:rsidRPr="004F3F81">
              <w:rPr>
                <w:rFonts w:ascii="Times New Roman" w:hAnsi="Times New Roman"/>
                <w:szCs w:val="20"/>
                <w:lang w:eastAsia="ko-KR"/>
              </w:rPr>
              <w:lastRenderedPageBreak/>
              <w:t>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lastRenderedPageBreak/>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1 :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2 :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lastRenderedPageBreak/>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w:t>
            </w:r>
            <w:r w:rsidRPr="004F3F81">
              <w:rPr>
                <w:rStyle w:val="Hyperlink"/>
                <w:rFonts w:ascii="Times New Roman" w:hAnsi="Times New Roman" w:cs="Times New Roman"/>
                <w:b w:val="0"/>
                <w:noProof/>
                <w:color w:val="000000" w:themeColor="text1"/>
                <w:sz w:val="20"/>
                <w:szCs w:val="20"/>
                <w:u w:val="none"/>
              </w:rPr>
              <w:lastRenderedPageBreak/>
              <w:t>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 xml:space="preserve">Proposal 1: Decide the maximum supported number of HARQ process number before discussing the indication method. The supported number of HARQ process number is determined by the requirement of peak data rates in </w:t>
            </w:r>
            <w:r w:rsidRPr="004F3F81">
              <w:lastRenderedPageBreak/>
              <w:t>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DECC" w14:textId="77777777" w:rsidR="00F164FB" w:rsidRDefault="00F164FB">
      <w:pPr>
        <w:spacing w:after="0"/>
      </w:pPr>
      <w:r>
        <w:separator/>
      </w:r>
    </w:p>
  </w:endnote>
  <w:endnote w:type="continuationSeparator" w:id="0">
    <w:p w14:paraId="2878712C" w14:textId="77777777" w:rsidR="00F164FB" w:rsidRDefault="00F16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EF177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17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BACCE" w14:textId="77777777" w:rsidR="00F164FB" w:rsidRDefault="00F164FB">
      <w:pPr>
        <w:spacing w:after="0"/>
      </w:pPr>
      <w:r>
        <w:separator/>
      </w:r>
    </w:p>
  </w:footnote>
  <w:footnote w:type="continuationSeparator" w:id="0">
    <w:p w14:paraId="4FFF147F" w14:textId="77777777" w:rsidR="00F164FB" w:rsidRDefault="00F16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2D2F5"/>
  <w15:docId w15:val="{7C056AD3-DFB4-472C-9B58-EDCD900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00FBC5-7DE2-49CA-880F-4EB9D359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17</Pages>
  <Words>8126</Words>
  <Characters>43070</Characters>
  <Application>Microsoft Office Word</Application>
  <DocSecurity>0</DocSecurity>
  <Lines>358</Lines>
  <Paragraphs>102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Hazhir Shokri Razaghi</cp:lastModifiedBy>
  <cp:revision>5</cp:revision>
  <cp:lastPrinted>2011-11-09T07:49:00Z</cp:lastPrinted>
  <dcterms:created xsi:type="dcterms:W3CDTF">2020-08-19T14:25:00Z</dcterms:created>
  <dcterms:modified xsi:type="dcterms:W3CDTF">2020-08-19T14:33:00Z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