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18ABA6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f0"/>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f0"/>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f0"/>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2FB0F239" w:rsidR="002B33B9" w:rsidRDefault="005167CD"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rPr>
        <mc:AlternateContent>
          <mc:Choice Requires="wps">
            <w:drawing>
              <wp:anchor distT="45720" distB="45720" distL="114300" distR="114300" simplePos="0" relativeHeight="251659264" behindDoc="0" locked="0" layoutInCell="1" allowOverlap="1" wp14:anchorId="63A167F9" wp14:editId="43A38432">
                <wp:simplePos x="0" y="0"/>
                <wp:positionH relativeFrom="column">
                  <wp:posOffset>368935</wp:posOffset>
                </wp:positionH>
                <wp:positionV relativeFrom="paragraph">
                  <wp:posOffset>311150</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F739F6" w:rsidRPr="002C0E93" w:rsidRDefault="00F739F6" w:rsidP="009F1144">
                            <w:pPr>
                              <w:pStyle w:val="28"/>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xml:space="preserve">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w:t>
                            </w:r>
                            <w:proofErr w:type="gramStart"/>
                            <w:r>
                              <w:t xml:space="preserve">OPTIONAL,   </w:t>
                            </w:r>
                            <w:proofErr w:type="gramEnd"/>
                            <w:r>
                              <w:t>-- Need S</w:t>
                            </w:r>
                          </w:p>
                          <w:p w14:paraId="5DC3F5A7" w14:textId="1ECE0820" w:rsidR="00F739F6" w:rsidRPr="002C0E93" w:rsidRDefault="00F739F6"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9.05pt;margin-top:24.5pt;width:476.85pt;height:27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">
                <v:textbo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F739F6" w:rsidRPr="002C0E93" w:rsidRDefault="00F739F6" w:rsidP="009F1144">
                      <w:pPr>
                        <w:pStyle w:val="a3"/>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PDSCH-ServingCellConfig</w:t>
                      </w:r>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PDSCH-ServingCellConfig ::=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46D8F3E6"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xml:space="preserve">) and potential scheduling with larger SCS (e.g., SCS = 30 </w:t>
      </w:r>
      <w:proofErr w:type="spellStart"/>
      <w:r w:rsidR="000346D1">
        <w:rPr>
          <w:rFonts w:eastAsiaTheme="minorEastAsia"/>
          <w:lang w:val="en-US" w:eastAsia="zh-CN"/>
        </w:rPr>
        <w:t>KHz</w:t>
      </w:r>
      <w:proofErr w:type="spellEnd"/>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f0"/>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f0"/>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f0"/>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f0"/>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f0"/>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f0"/>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aff0"/>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f0"/>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f0"/>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f0"/>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f0"/>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f0"/>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f0"/>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ＭＳ 明朝" w:cs="Arial" w:hint="eastAsia"/>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ＭＳ 明朝"/>
                <w:lang w:val="en-US" w:eastAsia="ja-JP"/>
              </w:rPr>
            </w:pPr>
            <w:r>
              <w:rPr>
                <w:rFonts w:eastAsia="ＭＳ 明朝"/>
              </w:rPr>
              <w:t>We support proposal 1.</w:t>
            </w:r>
          </w:p>
          <w:p w14:paraId="75D1828D" w14:textId="77777777" w:rsidR="00922D1C" w:rsidRDefault="00922D1C" w:rsidP="00922D1C">
            <w:pPr>
              <w:snapToGrid w:val="0"/>
              <w:ind w:left="360"/>
              <w:rPr>
                <w:rFonts w:eastAsia="ＭＳ 明朝"/>
              </w:rPr>
            </w:pPr>
            <w:r>
              <w:rPr>
                <w:rFonts w:eastAsia="ＭＳ 明朝"/>
              </w:rPr>
              <w:t>We evaluated with SLS using the agreed assumptions in R1-200</w:t>
            </w:r>
            <w:r>
              <w:rPr>
                <w:lang w:eastAsia="zh-CN"/>
              </w:rPr>
              <w:t>6327</w:t>
            </w:r>
            <w:r>
              <w:rPr>
                <w:rFonts w:eastAsia="ＭＳ 明朝"/>
              </w:rPr>
              <w:t>.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w:t>
            </w:r>
            <w:proofErr w:type="gramStart"/>
            <w:r>
              <w:rPr>
                <w:rFonts w:eastAsia="ＭＳ 明朝"/>
              </w:rPr>
              <w:t>in spite of</w:t>
            </w:r>
            <w:proofErr w:type="gramEnd"/>
            <w:r>
              <w:rPr>
                <w:rFonts w:eastAsia="ＭＳ 明朝"/>
              </w:rPr>
              <w:t xml:space="preserve">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xml:space="preserve">,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w:t>
            </w:r>
            <w:proofErr w:type="gramStart"/>
            <w:r>
              <w:t>traffic based</w:t>
            </w:r>
            <w:proofErr w:type="gramEnd"/>
            <w:r>
              <w:t xml:space="preserve"> evaluation is essential.</w:t>
            </w:r>
          </w:p>
          <w:p w14:paraId="3194F0EF" w14:textId="77777777" w:rsidR="00922D1C" w:rsidRDefault="00922D1C" w:rsidP="00922D1C">
            <w:pPr>
              <w:snapToGrid w:val="0"/>
              <w:ind w:left="360"/>
              <w:rPr>
                <w:rFonts w:eastAsia="ＭＳ 明朝"/>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w:t>
            </w:r>
            <w:proofErr w:type="spellStart"/>
            <w:r>
              <w:rPr>
                <w:lang w:eastAsia="zh-CN"/>
              </w:rPr>
              <w:t>tuated</w:t>
            </w:r>
            <w:proofErr w:type="spellEnd"/>
            <w:r>
              <w:rPr>
                <w:lang w:eastAsia="zh-CN"/>
              </w:rPr>
              <w:t xml:space="preserve"> channel due to weak NLOS component (i.e. high K-factor) according to the model in TR38.811. Higher elevation angle (e.g. 70</w:t>
            </w:r>
            <m:oMath>
              <m:r>
                <w:rPr>
                  <w:rFonts w:ascii="Cambria Math" w:hAnsi="Cambria Math"/>
                  <w:lang w:eastAsia="zh-CN"/>
                </w:rPr>
                <m:t>°</m:t>
              </m:r>
            </m:oMath>
            <w:r>
              <w:rPr>
                <w:rFonts w:eastAsia="ＭＳ 明朝"/>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ＭＳ 明朝"/>
              </w:rPr>
              <w:t>Regarding the 2</w:t>
            </w:r>
            <w:r>
              <w:rPr>
                <w:rFonts w:eastAsia="ＭＳ 明朝"/>
                <w:vertAlign w:val="superscript"/>
              </w:rPr>
              <w:t>nd</w:t>
            </w:r>
            <w:r>
              <w:rPr>
                <w:rFonts w:eastAsia="ＭＳ 明朝"/>
              </w:rPr>
              <w:t xml:space="preserve"> FFS point in Proposal 1, additional restriction due to UE capability would not be needed because it is basically up to UE </w:t>
            </w:r>
            <w:r>
              <w:rPr>
                <w:rFonts w:eastAsia="ＭＳ 明朝"/>
              </w:rPr>
              <w:lastRenderedPageBreak/>
              <w:t>implementation whether to perform soft combining. Sufficiently good user throughput can be obtained even with a limited UE soft buffer according to our SLS results.</w:t>
            </w:r>
          </w:p>
        </w:tc>
      </w:tr>
    </w:tbl>
    <w:p w14:paraId="34D6899C" w14:textId="529BD3C0"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hAnsi="Times New Roman"/>
          <w:b/>
          <w:kern w:val="28"/>
          <w:sz w:val="28"/>
          <w:lang w:val="en-US" w:eastAsia="zh-CN"/>
        </w:rPr>
        <w:lastRenderedPageBreak/>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Pr>
          <w:rFonts w:ascii="Times New Roman" w:eastAsia="ＭＳ ゴシック" w:hAnsi="Times New Roman"/>
          <w:b/>
          <w:kern w:val="28"/>
          <w:sz w:val="24"/>
          <w:lang w:val="en-US" w:eastAsia="ja-JP"/>
        </w:rPr>
        <w:t xml:space="preserve">Mechanism for disabling/enabling HARQ </w:t>
      </w:r>
      <w:r w:rsidR="00B85C6F">
        <w:rPr>
          <w:rFonts w:ascii="Times New Roman" w:eastAsia="ＭＳ ゴシック" w:hAnsi="Times New Roman"/>
          <w:b/>
          <w:kern w:val="28"/>
          <w:sz w:val="24"/>
          <w:lang w:val="en-US" w:eastAsia="ja-JP"/>
        </w:rPr>
        <w:tab/>
      </w:r>
      <w:r>
        <w:rPr>
          <w:rFonts w:ascii="Times New Roman" w:eastAsia="ＭＳ ゴシック"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584B89">
            <w:pPr>
              <w:jc w:val="center"/>
              <w:rPr>
                <w:b/>
                <w:sz w:val="28"/>
                <w:lang w:eastAsia="zh-CN"/>
              </w:rPr>
            </w:pPr>
            <w:r w:rsidRPr="008D3FED">
              <w:rPr>
                <w:b/>
                <w:sz w:val="22"/>
                <w:lang w:eastAsia="zh-CN"/>
              </w:rPr>
              <w:t>Comments and Views</w:t>
            </w:r>
          </w:p>
        </w:tc>
      </w:tr>
      <w:tr w:rsidR="008E4400" w14:paraId="452C3C3B"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584B89">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584B89">
            <w:pPr>
              <w:snapToGrid w:val="0"/>
              <w:rPr>
                <w:lang w:eastAsia="zh-CN"/>
              </w:rPr>
            </w:pPr>
            <w:r>
              <w:rPr>
                <w:lang w:eastAsia="zh-CN"/>
              </w:rPr>
              <w:t>Support proposal 2</w:t>
            </w:r>
          </w:p>
        </w:tc>
      </w:tr>
      <w:tr w:rsidR="00617C63" w14:paraId="5490042F"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hint="eastAsia"/>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rFonts w:hint="eastAsia"/>
                <w:lang w:eastAsia="zh-CN"/>
              </w:rPr>
            </w:pPr>
            <w:r>
              <w:rPr>
                <w:rFonts w:eastAsia="ＭＳ 明朝"/>
                <w:lang w:eastAsia="zh-CN"/>
              </w:rPr>
              <w:t>Support proposal 2</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584B89">
            <w:pPr>
              <w:jc w:val="center"/>
              <w:rPr>
                <w:b/>
                <w:sz w:val="28"/>
                <w:lang w:eastAsia="zh-CN"/>
              </w:rPr>
            </w:pPr>
            <w:r w:rsidRPr="008D3FED">
              <w:rPr>
                <w:b/>
                <w:sz w:val="22"/>
                <w:lang w:eastAsia="zh-CN"/>
              </w:rPr>
              <w:t>Comments and Views</w:t>
            </w:r>
          </w:p>
        </w:tc>
      </w:tr>
      <w:tr w:rsidR="008E4400" w14:paraId="04CDCBE7"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584B89">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584B89">
            <w:pPr>
              <w:snapToGrid w:val="0"/>
              <w:rPr>
                <w:lang w:eastAsia="zh-CN"/>
              </w:rPr>
            </w:pPr>
            <w:r>
              <w:rPr>
                <w:lang w:eastAsia="zh-CN"/>
              </w:rPr>
              <w:t>Support proposal 3</w:t>
            </w:r>
          </w:p>
        </w:tc>
      </w:tr>
      <w:tr w:rsidR="00617C63" w14:paraId="5C97D0F4"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hint="eastAsia"/>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rFonts w:hint="eastAsia"/>
                <w:lang w:eastAsia="zh-CN"/>
              </w:rPr>
            </w:pPr>
            <w:r>
              <w:rPr>
                <w:rFonts w:eastAsia="ＭＳ 明朝"/>
                <w:lang w:eastAsia="zh-CN"/>
              </w:rPr>
              <w:t xml:space="preserve">Support proposal 3 in principle, but it would be up to network implementation. </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lastRenderedPageBreak/>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hint="eastAsia"/>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ＭＳ 明朝"/>
                <w:lang w:eastAsia="zh-CN"/>
              </w:rPr>
              <w:t>Support proposal 4</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Pr>
          <w:rFonts w:ascii="Times New Roman" w:eastAsia="ＭＳ ゴシック" w:hAnsi="Times New Roman"/>
          <w:b/>
          <w:kern w:val="28"/>
          <w:sz w:val="24"/>
          <w:lang w:val="en-US" w:eastAsia="ja-JP"/>
        </w:rPr>
        <w:t xml:space="preserve">Enhancement on the </w:t>
      </w:r>
      <w:r w:rsidR="006343CD">
        <w:rPr>
          <w:rFonts w:ascii="Times New Roman" w:eastAsia="ＭＳ ゴシック" w:hAnsi="Times New Roman"/>
          <w:b/>
          <w:kern w:val="28"/>
          <w:sz w:val="24"/>
          <w:lang w:val="en-US" w:eastAsia="ja-JP"/>
        </w:rPr>
        <w:t>HARQ-</w:t>
      </w:r>
      <w:r w:rsidR="00D84453">
        <w:rPr>
          <w:rFonts w:ascii="Times New Roman" w:eastAsia="ＭＳ ゴシック" w:hAnsi="Times New Roman"/>
          <w:b/>
          <w:kern w:val="28"/>
          <w:sz w:val="24"/>
          <w:lang w:val="en-US" w:eastAsia="ja-JP"/>
        </w:rPr>
        <w:t>ACK codebook</w:t>
      </w:r>
    </w:p>
    <w:p w14:paraId="34EDDB1B" w14:textId="448C6590" w:rsidR="00FE2A35" w:rsidRDefault="009D742E" w:rsidP="00C111D9">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ＭＳ 明朝"/>
                <w:lang w:eastAsia="zh-CN"/>
              </w:rPr>
              <w:t xml:space="preserve">We prefer a straightforward solution (e.g. insert NACK for type1 and ignore DAI for type2 as proposed by Ericsson). Optimization might not be needed. </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Pr>
          <w:rFonts w:ascii="Times New Roman" w:eastAsia="ＭＳ ゴシック" w:hAnsi="Times New Roman"/>
          <w:b/>
          <w:kern w:val="28"/>
          <w:sz w:val="24"/>
          <w:lang w:val="en-US" w:eastAsia="ja-JP"/>
        </w:rPr>
        <w:t xml:space="preserve">Enhancement on the </w:t>
      </w:r>
      <w:r w:rsidR="00E15DAC">
        <w:rPr>
          <w:rFonts w:ascii="Times New Roman" w:eastAsia="ＭＳ ゴシック" w:hAnsi="Times New Roman"/>
          <w:b/>
          <w:kern w:val="28"/>
          <w:sz w:val="24"/>
          <w:lang w:val="en-US" w:eastAsia="ja-JP"/>
        </w:rPr>
        <w:t>transmission</w:t>
      </w:r>
    </w:p>
    <w:p w14:paraId="25FE1434" w14:textId="11AC01EF" w:rsidR="00D769F8" w:rsidRDefault="00E15DAC" w:rsidP="00CC5CDE">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e"/>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w:t>
      </w:r>
      <w:bookmarkStart w:id="2" w:name="_GoBack"/>
      <w:bookmarkEnd w:id="2"/>
      <w:r w:rsidR="00FD5756">
        <w:rPr>
          <w:rFonts w:eastAsiaTheme="minorEastAsia"/>
          <w:lang w:eastAsia="zh-CN"/>
        </w:rPr>
        <w:t xml:space="preserve">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UE assistance information</w:t>
      </w:r>
    </w:p>
    <w:p w14:paraId="4BE636A3" w14:textId="570D247B" w:rsidR="00244B52" w:rsidRDefault="00244B52" w:rsidP="00EA278E">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ＭＳ 明朝"/>
                <w:lang w:eastAsia="zh-CN"/>
              </w:rPr>
              <w:t xml:space="preserve">Support proposal 6. In addition to above list, we propose to discuss an indication to recommend soft buffer usage (store or not) in DCI, as proposed in R1-2006327. </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Others</w:t>
      </w:r>
      <w:r w:rsidR="00116026">
        <w:rPr>
          <w:rFonts w:ascii="Times New Roman" w:eastAsia="ＭＳ ゴシック"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sidRPr="0066198A">
        <w:rPr>
          <w:rFonts w:ascii="Times New Roman" w:eastAsia="ＭＳ ゴシック"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Pr>
          <w:rFonts w:ascii="Times New Roman" w:eastAsia="ＭＳ ゴシック"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617C63"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777777" w:rsidR="00617C63" w:rsidRDefault="00617C63" w:rsidP="00617C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7B5B280" w14:textId="77777777" w:rsidR="00617C63" w:rsidRDefault="00617C63" w:rsidP="00617C63">
            <w:pPr>
              <w:snapToGrid w:val="0"/>
              <w:ind w:left="360"/>
            </w:pP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4"/>
          <w:lang w:val="en-US" w:eastAsia="ja-JP"/>
        </w:rPr>
      </w:pPr>
      <w:r>
        <w:rPr>
          <w:rFonts w:ascii="Times New Roman" w:eastAsia="ＭＳ ゴシック"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f0"/>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FD79B0">
      <w:pPr>
        <w:pStyle w:val="aff0"/>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FD79B0">
      <w:pPr>
        <w:pStyle w:val="aff0"/>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lastRenderedPageBreak/>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f0"/>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f0"/>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f0"/>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282DD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282DD2">
            <w:pPr>
              <w:jc w:val="center"/>
              <w:rPr>
                <w:b/>
                <w:sz w:val="28"/>
                <w:lang w:eastAsia="zh-CN"/>
              </w:rPr>
            </w:pPr>
            <w:r w:rsidRPr="008D3FED">
              <w:rPr>
                <w:b/>
                <w:sz w:val="22"/>
                <w:lang w:eastAsia="zh-CN"/>
              </w:rPr>
              <w:t>Comments and Views</w:t>
            </w:r>
          </w:p>
        </w:tc>
      </w:tr>
      <w:tr w:rsidR="00617C63" w14:paraId="1458CC38"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617C63" w14:paraId="29D1EBFB"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77777777" w:rsidR="00617C63" w:rsidRDefault="00617C63" w:rsidP="00617C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77777777" w:rsidR="00617C63" w:rsidRDefault="00617C63" w:rsidP="00617C63">
            <w:pPr>
              <w:snapToGrid w:val="0"/>
              <w:ind w:left="360"/>
            </w:pPr>
          </w:p>
        </w:tc>
      </w:tr>
    </w:tbl>
    <w:p w14:paraId="4DFC9799" w14:textId="77777777" w:rsidR="00697A4A" w:rsidRPr="00697A4A"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FR3 and 10 LOS UEs per cell, it is useful to do an averaging in terms of BLER rather than taking into account the instantaneous 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lastRenderedPageBreak/>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ae"/>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lastRenderedPageBreak/>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ae"/>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f0"/>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f0"/>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f0"/>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f0"/>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f0"/>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f0"/>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lastRenderedPageBreak/>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1 :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2 :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lastRenderedPageBreak/>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f0"/>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aff0"/>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aff0"/>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aff0"/>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f0"/>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f0"/>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f0"/>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aff0"/>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f0"/>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The</w:t>
            </w:r>
            <w:r w:rsidRPr="004F3F81">
              <w:rPr>
                <w:rStyle w:val="afc"/>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 xml:space="preserve">When HARQ processes are enabled/disabled on a per HARQ process basis, in the case of the </w:t>
            </w:r>
            <w:r w:rsidRPr="004F3F81">
              <w:rPr>
                <w:rStyle w:val="afc"/>
                <w:rFonts w:ascii="Times New Roman" w:hAnsi="Times New Roman" w:cs="Times New Roman"/>
                <w:b w:val="0"/>
                <w:noProof/>
                <w:color w:val="000000" w:themeColor="text1"/>
                <w:sz w:val="20"/>
                <w:szCs w:val="20"/>
                <w:u w:val="none"/>
              </w:rPr>
              <w:lastRenderedPageBreak/>
              <w:t>NR Type-1 HARQ codebook, the UE inserts NACKs in positions corresponding to PDSCHs associated with feedback disabled HARQ processes.</w:t>
            </w:r>
          </w:p>
          <w:p w14:paraId="78A7A775" w14:textId="6B4AD5C7"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c"/>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6"/>
              <w:tabs>
                <w:tab w:val="right" w:leader="dot" w:pos="9629"/>
              </w:tabs>
              <w:adjustRightInd w:val="0"/>
              <w:snapToGrid w:val="0"/>
              <w:spacing w:after="0"/>
              <w:jc w:val="both"/>
              <w:rPr>
                <w:rFonts w:ascii="Times New Roman" w:hAnsi="Times New Roman" w:cs="Times New Roman"/>
                <w:b w:val="0"/>
                <w:sz w:val="20"/>
                <w:szCs w:val="20"/>
              </w:rPr>
            </w:pPr>
            <w:r w:rsidRPr="004F3F81">
              <w:rPr>
                <w:rStyle w:val="afc"/>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c"/>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f0"/>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f0"/>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f0"/>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f0"/>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f0"/>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f0"/>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f0"/>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lastRenderedPageBreak/>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E4229" w14:textId="77777777" w:rsidR="00C15AD5" w:rsidRDefault="00C15AD5">
      <w:pPr>
        <w:spacing w:after="0"/>
      </w:pPr>
      <w:r>
        <w:separator/>
      </w:r>
    </w:p>
  </w:endnote>
  <w:endnote w:type="continuationSeparator" w:id="0">
    <w:p w14:paraId="279D561E" w14:textId="77777777" w:rsidR="00C15AD5" w:rsidRDefault="00C15A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F739F6" w:rsidRDefault="00F739F6">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F739F6" w:rsidRDefault="00F739F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F739F6" w:rsidRDefault="00F739F6">
    <w:pPr>
      <w:pStyle w:val="af1"/>
      <w:ind w:right="360"/>
    </w:pPr>
    <w:r>
      <w:rPr>
        <w:rStyle w:val="af9"/>
      </w:rPr>
      <w:fldChar w:fldCharType="begin"/>
    </w:r>
    <w:r>
      <w:rPr>
        <w:rStyle w:val="af9"/>
      </w:rPr>
      <w:instrText xml:space="preserve"> PAGE </w:instrText>
    </w:r>
    <w:r>
      <w:rPr>
        <w:rStyle w:val="af9"/>
      </w:rPr>
      <w:fldChar w:fldCharType="separate"/>
    </w:r>
    <w:r w:rsidR="001F0568">
      <w:rPr>
        <w:rStyle w:val="af9"/>
        <w:noProof/>
      </w:rPr>
      <w:t>3</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1F0568">
      <w:rPr>
        <w:rStyle w:val="af9"/>
        <w:noProof/>
      </w:rPr>
      <w:t>13</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FDAFC" w14:textId="77777777" w:rsidR="00C15AD5" w:rsidRDefault="00C15AD5">
      <w:pPr>
        <w:spacing w:after="0"/>
      </w:pPr>
      <w:r>
        <w:separator/>
      </w:r>
    </w:p>
  </w:footnote>
  <w:footnote w:type="continuationSeparator" w:id="0">
    <w:p w14:paraId="35ED7216" w14:textId="77777777" w:rsidR="00C15AD5" w:rsidRDefault="00C15A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F739F6" w:rsidRDefault="00F739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0"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8"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1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8"/>
  </w:num>
  <w:num w:numId="11">
    <w:abstractNumId w:val="10"/>
  </w:num>
  <w:num w:numId="12">
    <w:abstractNumId w:val="4"/>
  </w:num>
  <w:num w:numId="13">
    <w:abstractNumId w:val="2"/>
  </w:num>
  <w:num w:numId="14">
    <w:abstractNumId w:val="20"/>
  </w:num>
  <w:num w:numId="15">
    <w:abstractNumId w:val="21"/>
  </w:num>
  <w:num w:numId="16">
    <w:abstractNumId w:val="3"/>
  </w:num>
  <w:num w:numId="17">
    <w:abstractNumId w:val="13"/>
  </w:num>
  <w:num w:numId="18">
    <w:abstractNumId w:val="15"/>
  </w:num>
  <w:num w:numId="19">
    <w:abstractNumId w:val="16"/>
  </w:num>
  <w:num w:numId="20">
    <w:abstractNumId w:val="17"/>
  </w:num>
  <w:num w:numId="21">
    <w:abstractNumId w:val="9"/>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2D2F5"/>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1st level - Bullet List Paragraph,Lettre d'introduction,Paragrafo elenco,Normal bullet 2,Bullet list,Numbered List,列出段落,List Paragraph1,Task Body,Viñetas (Inicio Parrafo)"/>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목록 단락 (文字),?? ?? (文字),????? (文字),???? (文字),Lista1 (文字),中等深浅网格 1 - 着色 21 (文字),1st level - Bullet List Paragraph (文字),Lettre d'introduction (文字),Paragrafo elenco (文字),Normal bullet 2 (文字),Bullet list (文字),Numbered List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A7C384-B4D0-4E17-966B-E0586381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14</Pages>
  <Words>6623</Words>
  <Characters>37753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Nishio Akihiko (西尾 昭彦)</cp:lastModifiedBy>
  <cp:revision>4</cp:revision>
  <cp:lastPrinted>2011-11-09T07:49:00Z</cp:lastPrinted>
  <dcterms:created xsi:type="dcterms:W3CDTF">2020-08-19T08:56:00Z</dcterms:created>
  <dcterms:modified xsi:type="dcterms:W3CDTF">2020-08-19T10:15:00Z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