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F739F6" w:rsidRPr="002C0E93" w:rsidRDefault="00F739F6" w:rsidP="009F1144">
                            <w:pPr>
                              <w:pStyle w:val="26"/>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F739F6" w:rsidRPr="002C0E93" w:rsidRDefault="00F739F6"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xml:space="preserve">) and potential scheduling with larger SCS (e.g., SCS = 30 </w:t>
      </w:r>
      <w:proofErr w:type="spellStart"/>
      <w:r w:rsidR="000346D1">
        <w:rPr>
          <w:rFonts w:eastAsiaTheme="minorEastAsia"/>
          <w:lang w:val="en-US" w:eastAsia="zh-CN"/>
        </w:rPr>
        <w:t>KHz</w:t>
      </w:r>
      <w:proofErr w:type="spellEnd"/>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 xml:space="preserve">RTT and SCS </w:t>
            </w:r>
            <w:bookmarkStart w:id="2" w:name="_GoBack"/>
            <w:bookmarkEnd w:id="2"/>
            <w:r>
              <w:rPr>
                <w:rFonts w:eastAsiaTheme="minorEastAsia"/>
                <w:lang w:val="en-US" w:eastAsia="zh-CN"/>
              </w:rPr>
              <w:t>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bl>
    <w:p w14:paraId="34D6899C" w14:textId="529BD3C0"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584B89">
            <w:pPr>
              <w:jc w:val="center"/>
              <w:rPr>
                <w:b/>
                <w:sz w:val="28"/>
                <w:lang w:eastAsia="zh-CN"/>
              </w:rPr>
            </w:pPr>
            <w:r w:rsidRPr="008D3FED">
              <w:rPr>
                <w:b/>
                <w:sz w:val="22"/>
                <w:lang w:eastAsia="zh-CN"/>
              </w:rPr>
              <w:t>Comments and Views</w:t>
            </w:r>
          </w:p>
        </w:tc>
      </w:tr>
      <w:tr w:rsidR="008E4400" w14:paraId="452C3C3B"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584B89">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584B89">
            <w:pPr>
              <w:snapToGrid w:val="0"/>
              <w:rPr>
                <w:lang w:eastAsia="zh-CN"/>
              </w:rPr>
            </w:pPr>
            <w:r>
              <w:rPr>
                <w:lang w:eastAsia="zh-CN"/>
              </w:rPr>
              <w:t>Support proposal 2</w:t>
            </w:r>
          </w:p>
        </w:tc>
      </w:tr>
      <w:tr w:rsidR="00617C63" w14:paraId="5490042F"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584B89">
            <w:pPr>
              <w:jc w:val="center"/>
              <w:rPr>
                <w:b/>
                <w:sz w:val="28"/>
                <w:lang w:eastAsia="zh-CN"/>
              </w:rPr>
            </w:pPr>
            <w:r w:rsidRPr="008D3FED">
              <w:rPr>
                <w:b/>
                <w:sz w:val="22"/>
                <w:lang w:eastAsia="zh-CN"/>
              </w:rPr>
              <w:t>Comments and Views</w:t>
            </w:r>
          </w:p>
        </w:tc>
      </w:tr>
      <w:tr w:rsidR="008E4400" w14:paraId="04CDCBE7"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584B89">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584B89">
            <w:pPr>
              <w:snapToGrid w:val="0"/>
              <w:rPr>
                <w:lang w:eastAsia="zh-CN"/>
              </w:rPr>
            </w:pPr>
            <w:r>
              <w:rPr>
                <w:lang w:eastAsia="zh-CN"/>
              </w:rPr>
              <w:t>Support proposal 3</w:t>
            </w:r>
          </w:p>
        </w:tc>
      </w:tr>
      <w:tr w:rsidR="00617C63" w14:paraId="5C97D0F4"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w:t>
            </w:r>
            <w:r>
              <w:rPr>
                <w:lang w:eastAsia="zh-CN"/>
              </w:rPr>
              <w:t>.</w:t>
            </w:r>
            <w:r>
              <w:rPr>
                <w:lang w:eastAsia="zh-CN"/>
              </w:rPr>
              <w:t xml:space="preserve"> Hope unified parameter configuration for case with/without HARQ feedback, </w:t>
            </w:r>
            <w:r>
              <w:rPr>
                <w:lang w:eastAsia="zh-CN"/>
              </w:rPr>
              <w:t xml:space="preserve">and </w:t>
            </w:r>
            <w:r>
              <w:rPr>
                <w:lang w:eastAsia="zh-CN"/>
              </w:rPr>
              <w:t>the detail MCS is flexibly indicated per HARQ process (with/without feedback)</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617C63"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77777777" w:rsidR="00617C63" w:rsidRDefault="00617C63" w:rsidP="00617C63">
            <w:pPr>
              <w:snapToGrid w:val="0"/>
              <w:ind w:left="360"/>
            </w:pP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CQI table with new BLER target</w:t>
      </w:r>
    </w:p>
    <w:p w14:paraId="268C5401" w14:textId="26F2081D" w:rsidR="00AD6609" w:rsidRDefault="00AB28D4" w:rsidP="007E5248">
      <w:pPr>
        <w:pStyle w:val="ae"/>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617C63"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77777777" w:rsidR="00617C63" w:rsidRDefault="00617C63" w:rsidP="00617C63">
            <w:pPr>
              <w:snapToGrid w:val="0"/>
              <w:ind w:left="360"/>
            </w:pP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617C63"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7B5B280" w14:textId="77777777" w:rsidR="00617C63" w:rsidRDefault="00617C63" w:rsidP="00617C63">
            <w:pPr>
              <w:snapToGrid w:val="0"/>
              <w:ind w:left="360"/>
            </w:pP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f1"/>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FD79B0">
      <w:pPr>
        <w:pStyle w:val="aff1"/>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FD79B0">
      <w:pPr>
        <w:pStyle w:val="aff1"/>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282DD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282DD2">
            <w:pPr>
              <w:jc w:val="center"/>
              <w:rPr>
                <w:b/>
                <w:sz w:val="28"/>
                <w:lang w:eastAsia="zh-CN"/>
              </w:rPr>
            </w:pPr>
            <w:r w:rsidRPr="008D3FED">
              <w:rPr>
                <w:b/>
                <w:sz w:val="22"/>
                <w:lang w:eastAsia="zh-CN"/>
              </w:rPr>
              <w:t>Comments and Views</w:t>
            </w:r>
          </w:p>
        </w:tc>
      </w:tr>
      <w:tr w:rsidR="00617C63" w14:paraId="1458CC38"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w:t>
            </w:r>
            <w:r>
              <w:rPr>
                <w:lang w:eastAsia="zh-CN"/>
              </w:rPr>
              <w:t xml:space="preserve"> </w:t>
            </w:r>
            <w:r>
              <w:rPr>
                <w:lang w:eastAsia="zh-CN"/>
              </w:rPr>
              <w:t>and can be discussed in later release.</w:t>
            </w:r>
          </w:p>
        </w:tc>
      </w:tr>
      <w:tr w:rsidR="00617C63" w14:paraId="29D1EBFB"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77777777" w:rsidR="00617C63" w:rsidRDefault="00617C63" w:rsidP="00617C63">
            <w:pPr>
              <w:snapToGrid w:val="0"/>
              <w:ind w:left="360"/>
            </w:pP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 xml:space="preserve">Considering a GEO Ka-Band scenario with FR3 and 10 LOS UEs per cell, the probability of an RLC error rates per UE larger than 3% is 4% if link adaptation is performed based on the instantaneous channel state and BLER offset, while it is 0.6% </w:t>
            </w:r>
            <w:r w:rsidRPr="004F3F81">
              <w:rPr>
                <w:lang w:eastAsia="ja-JP"/>
              </w:rPr>
              <w:lastRenderedPageBreak/>
              <w:t>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lastRenderedPageBreak/>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f1"/>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f1"/>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f1"/>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f1"/>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f1"/>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f1"/>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lastRenderedPageBreak/>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1 :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2 :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lastRenderedPageBreak/>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f1"/>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The</w:t>
            </w:r>
            <w:r w:rsidRPr="004F3F81">
              <w:rPr>
                <w:rStyle w:val="afd"/>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lang w:val="en-GB"/>
              </w:rPr>
              <w:t xml:space="preserve">The main purpose of NTN is to provide ubiquitous coverage rather than to provide maximum </w:t>
            </w:r>
            <w:r w:rsidRPr="004F3F81">
              <w:rPr>
                <w:rStyle w:val="afd"/>
                <w:rFonts w:ascii="Times New Roman" w:hAnsi="Times New Roman" w:cs="Times New Roman"/>
                <w:b w:val="0"/>
                <w:noProof/>
                <w:color w:val="000000" w:themeColor="text1"/>
                <w:sz w:val="20"/>
                <w:szCs w:val="20"/>
                <w:u w:val="none"/>
                <w:lang w:val="en-GB"/>
              </w:rPr>
              <w:lastRenderedPageBreak/>
              <w:t>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sz w:val="20"/>
                <w:szCs w:val="20"/>
              </w:rPr>
            </w:pPr>
            <w:r w:rsidRPr="004F3F81">
              <w:rPr>
                <w:rStyle w:val="afd"/>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f1"/>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f1"/>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f1"/>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lastRenderedPageBreak/>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3BE35" w14:textId="77777777" w:rsidR="00D1506B" w:rsidRDefault="00D1506B">
      <w:pPr>
        <w:spacing w:after="0"/>
      </w:pPr>
      <w:r>
        <w:separator/>
      </w:r>
    </w:p>
  </w:endnote>
  <w:endnote w:type="continuationSeparator" w:id="0">
    <w:p w14:paraId="6975A519" w14:textId="77777777" w:rsidR="00D1506B" w:rsidRDefault="00D15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F739F6" w:rsidRDefault="00F739F6">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D8CACF9" w14:textId="77777777" w:rsidR="00F739F6" w:rsidRDefault="00F739F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F739F6" w:rsidRDefault="00F739F6">
    <w:pPr>
      <w:pStyle w:val="af1"/>
      <w:ind w:right="360"/>
    </w:pPr>
    <w:r>
      <w:rPr>
        <w:rStyle w:val="afa"/>
      </w:rPr>
      <w:fldChar w:fldCharType="begin"/>
    </w:r>
    <w:r>
      <w:rPr>
        <w:rStyle w:val="afa"/>
      </w:rPr>
      <w:instrText xml:space="preserve"> PAGE </w:instrText>
    </w:r>
    <w:r>
      <w:rPr>
        <w:rStyle w:val="afa"/>
      </w:rPr>
      <w:fldChar w:fldCharType="separate"/>
    </w:r>
    <w:r w:rsidR="001F0568">
      <w:rPr>
        <w:rStyle w:val="afa"/>
        <w:noProof/>
      </w:rPr>
      <w:t>3</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1F0568">
      <w:rPr>
        <w:rStyle w:val="afa"/>
        <w:noProof/>
      </w:rPr>
      <w:t>13</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6EF72" w14:textId="77777777" w:rsidR="00D1506B" w:rsidRDefault="00D1506B">
      <w:pPr>
        <w:spacing w:after="0"/>
      </w:pPr>
      <w:r>
        <w:separator/>
      </w:r>
    </w:p>
  </w:footnote>
  <w:footnote w:type="continuationSeparator" w:id="0">
    <w:p w14:paraId="3E28C0CE" w14:textId="77777777" w:rsidR="00D1506B" w:rsidRDefault="00D150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F739F6" w:rsidRDefault="00F739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0"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0"/>
  </w:num>
  <w:num w:numId="12">
    <w:abstractNumId w:val="4"/>
  </w:num>
  <w:num w:numId="13">
    <w:abstractNumId w:val="2"/>
  </w:num>
  <w:num w:numId="14">
    <w:abstractNumId w:val="20"/>
  </w:num>
  <w:num w:numId="15">
    <w:abstractNumId w:val="21"/>
  </w:num>
  <w:num w:numId="16">
    <w:abstractNumId w:val="3"/>
  </w:num>
  <w:num w:numId="17">
    <w:abstractNumId w:val="13"/>
  </w:num>
  <w:num w:numId="18">
    <w:abstractNumId w:val="15"/>
  </w:num>
  <w:num w:numId="19">
    <w:abstractNumId w:val="16"/>
  </w:num>
  <w:num w:numId="20">
    <w:abstractNumId w:val="17"/>
  </w:num>
  <w:num w:numId="21">
    <w:abstractNumId w:val="9"/>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2D2F5"/>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9">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szCs w:val="16"/>
    </w:rPr>
  </w:style>
  <w:style w:type="character" w:styleId="aff">
    <w:name w:val="footnote reference"/>
    <w:qFormat/>
    <w:rPr>
      <w:b/>
      <w:position w:val="6"/>
      <w:sz w:val="16"/>
    </w:rPr>
  </w:style>
  <w:style w:type="table" w:styleId="aff0">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목록 단락,リスト段落,?? ??,?????,????,Lista1,中等深浅网格 1 - 着色 21,1st level - Bullet List Paragraph,Lettre d'introduction,Paragrafo elenco,Normal bullet 2,Bullet list,Numbered List,列出段落,List Paragraph1,Task Body,Viñetas (Inicio Parrafo)"/>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4">
    <w:name w:val="样式 页眉"/>
    <w:basedOn w:val="af3"/>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页眉 字符"/>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2">
    <w:name w:val="列表段落 字符"/>
    <w:aliases w:val="- Bullets 字符,목록 단락 字符,リスト段落 字符,?? ?? 字符,????? 字符,???? 字符,Lista1 字符,中等深浅网格 1 - 着色 21 字符,1st level - Bullet List Paragraph 字符,Lettre d'introduction 字符,Paragrafo elenco 字符,Normal bullet 2 字符,Bullet list 字符,Numbered List 字符,列出段落 字符1,Task Body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f5"/>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5">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6">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7">
    <w:name w:val="Intense Reference"/>
    <w:basedOn w:val="a2"/>
    <w:uiPriority w:val="32"/>
    <w:qFormat/>
    <w:rsid w:val="007152C7"/>
    <w:rPr>
      <w:b/>
      <w:bCs/>
      <w:smallCaps/>
      <w:color w:val="5B9BD5" w:themeColor="accent1"/>
      <w:spacing w:val="5"/>
    </w:rPr>
  </w:style>
  <w:style w:type="paragraph" w:styleId="aff8">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本 字符"/>
    <w:link w:val="af7"/>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3B6070-80B5-44A9-82CE-BB6254B4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6198</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Hongmei HM6 Liu</cp:lastModifiedBy>
  <cp:revision>3</cp:revision>
  <cp:lastPrinted>2011-11-09T07:49:00Z</cp:lastPrinted>
  <dcterms:created xsi:type="dcterms:W3CDTF">2020-08-19T08:56:00Z</dcterms:created>
  <dcterms:modified xsi:type="dcterms:W3CDTF">2020-08-19T08:59:00Z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