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3"/>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3"/>
        <w:numPr>
          <w:ilvl w:val="0"/>
          <w:numId w:val="46"/>
        </w:numPr>
        <w:rPr>
          <w:sz w:val="22"/>
          <w:szCs w:val="22"/>
        </w:rPr>
      </w:pPr>
      <w:r w:rsidRPr="00566BAF">
        <w:rPr>
          <w:sz w:val="22"/>
          <w:szCs w:val="22"/>
        </w:rPr>
        <w:t>….</w:t>
      </w:r>
    </w:p>
    <w:p w14:paraId="2BECFF2F" w14:textId="77777777" w:rsidR="00403976" w:rsidRDefault="00403976" w:rsidP="00403976">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8"/>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3"/>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3"/>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BC5835">
        <w:tc>
          <w:tcPr>
            <w:tcW w:w="1544" w:type="dxa"/>
          </w:tcPr>
          <w:p w14:paraId="392FBAEB" w14:textId="77777777" w:rsidR="004E3C73" w:rsidRDefault="004E3C73" w:rsidP="00BC5835">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BC5835">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4E3C73">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BC5835">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BC5835">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BC5835">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af3"/>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BC5835">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af3"/>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af3"/>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BC5835">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BC5835">
        <w:tc>
          <w:tcPr>
            <w:tcW w:w="1544" w:type="dxa"/>
          </w:tcPr>
          <w:p w14:paraId="188E2766" w14:textId="60AE14BC"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lastRenderedPageBreak/>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lastRenderedPageBreak/>
              <w:t>QC (version 2, after 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lastRenderedPageBreak/>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 xml:space="preserve">Moderator updates </w:t>
            </w:r>
            <w:r w:rsidRPr="009C52E2">
              <w:rPr>
                <w:rFonts w:eastAsiaTheme="minorEastAsia"/>
                <w:b/>
                <w:bCs/>
                <w:iCs/>
                <w:kern w:val="2"/>
                <w:sz w:val="22"/>
                <w:szCs w:val="22"/>
                <w:lang w:eastAsia="zh-CN"/>
              </w:rPr>
              <w:lastRenderedPageBreak/>
              <w:t>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8 inputs are fine with the proposal (i.e. Yes) – i.e. do not include to the list</w:t>
            </w:r>
          </w:p>
          <w:p w14:paraId="10E43315" w14:textId="77777777" w:rsidR="00403976" w:rsidRPr="009C52E2"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3"/>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But, our question is why single 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can not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lastRenderedPageBreak/>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lastRenderedPageBreak/>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lastRenderedPageBreak/>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It seems we don’t need this proposal. We can discuss Type 3 CB as a </w:t>
            </w:r>
            <w:r>
              <w:rPr>
                <w:rFonts w:eastAsia="Malgun Gothic"/>
                <w:iCs/>
                <w:kern w:val="2"/>
                <w:sz w:val="22"/>
                <w:szCs w:val="22"/>
                <w:lang w:eastAsia="ko-KR"/>
              </w:rPr>
              <w:lastRenderedPageBreak/>
              <w:t>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Similar to Intel &amp; InterDigital, give the current status, not agreeing the 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bookmarkStart w:id="15" w:name="_GoBack"/>
            <w:bookmarkEnd w:id="15"/>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Spreadtrum</w:t>
            </w:r>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lastRenderedPageBreak/>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lastRenderedPageBreak/>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lastRenderedPageBreak/>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lastRenderedPageBreak/>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8"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E70573" w:rsidP="001B4F9F">
      <w:pPr>
        <w:pStyle w:val="afb"/>
        <w:tabs>
          <w:tab w:val="right" w:leader="dot" w:pos="9629"/>
        </w:tabs>
        <w:rPr>
          <w:rFonts w:asciiTheme="minorHAnsi" w:hAnsiTheme="minorHAnsi"/>
          <w:b w:val="0"/>
          <w:noProof/>
          <w:lang w:eastAsia="en-US"/>
        </w:rPr>
      </w:pPr>
      <w:hyperlink r:id="rId19"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E70573" w:rsidP="001B4F9F">
      <w:pPr>
        <w:pStyle w:val="afb"/>
        <w:tabs>
          <w:tab w:val="right" w:leader="dot" w:pos="9629"/>
        </w:tabs>
        <w:rPr>
          <w:rFonts w:asciiTheme="minorHAnsi" w:hAnsiTheme="minorHAnsi"/>
          <w:b w:val="0"/>
          <w:noProof/>
          <w:lang w:eastAsia="en-US"/>
        </w:rPr>
      </w:pPr>
      <w:hyperlink r:id="rId20"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E70573" w:rsidP="001B4F9F">
      <w:pPr>
        <w:pStyle w:val="afb"/>
        <w:tabs>
          <w:tab w:val="right" w:leader="dot" w:pos="9629"/>
        </w:tabs>
        <w:rPr>
          <w:rFonts w:asciiTheme="minorHAnsi" w:hAnsiTheme="minorHAnsi"/>
          <w:b w:val="0"/>
          <w:noProof/>
          <w:lang w:eastAsia="en-US"/>
        </w:rPr>
      </w:pPr>
      <w:hyperlink r:id="rId21"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2"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E70573" w:rsidP="001B4F9F">
      <w:pPr>
        <w:pStyle w:val="afb"/>
        <w:tabs>
          <w:tab w:val="right" w:leader="dot" w:pos="9629"/>
        </w:tabs>
        <w:rPr>
          <w:rFonts w:asciiTheme="minorHAnsi" w:hAnsiTheme="minorHAnsi"/>
          <w:b w:val="0"/>
          <w:noProof/>
          <w:lang w:eastAsia="en-US"/>
        </w:rPr>
      </w:pPr>
      <w:hyperlink r:id="rId23"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E70573" w:rsidP="001B4F9F">
      <w:pPr>
        <w:pStyle w:val="afb"/>
        <w:tabs>
          <w:tab w:val="right" w:leader="dot" w:pos="9629"/>
        </w:tabs>
        <w:rPr>
          <w:rFonts w:asciiTheme="minorHAnsi" w:hAnsiTheme="minorHAnsi"/>
          <w:b w:val="0"/>
          <w:noProof/>
          <w:lang w:eastAsia="en-US"/>
        </w:rPr>
      </w:pPr>
      <w:hyperlink r:id="rId24"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E70573" w:rsidP="001B4F9F">
      <w:pPr>
        <w:pStyle w:val="afb"/>
        <w:tabs>
          <w:tab w:val="right" w:leader="dot" w:pos="9629"/>
        </w:tabs>
        <w:rPr>
          <w:rFonts w:asciiTheme="minorHAnsi" w:hAnsiTheme="minorHAnsi"/>
          <w:b w:val="0"/>
          <w:noProof/>
          <w:lang w:eastAsia="en-US"/>
        </w:rPr>
      </w:pPr>
      <w:hyperlink r:id="rId25"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E70573" w:rsidP="001B4F9F">
      <w:pPr>
        <w:pStyle w:val="afb"/>
        <w:tabs>
          <w:tab w:val="right" w:leader="dot" w:pos="9629"/>
        </w:tabs>
        <w:rPr>
          <w:rFonts w:asciiTheme="minorHAnsi" w:hAnsiTheme="minorHAnsi"/>
          <w:b w:val="0"/>
          <w:noProof/>
          <w:lang w:eastAsia="en-US"/>
        </w:rPr>
      </w:pPr>
      <w:hyperlink r:id="rId26"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E70573" w:rsidP="001B4F9F">
      <w:pPr>
        <w:pStyle w:val="afb"/>
        <w:tabs>
          <w:tab w:val="right" w:leader="dot" w:pos="9629"/>
        </w:tabs>
        <w:rPr>
          <w:rFonts w:asciiTheme="minorHAnsi" w:hAnsiTheme="minorHAnsi"/>
          <w:b w:val="0"/>
          <w:noProof/>
          <w:lang w:eastAsia="en-US"/>
        </w:rPr>
      </w:pPr>
      <w:hyperlink r:id="rId27"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4354" w14:textId="77777777" w:rsidR="00E70573" w:rsidRDefault="00E70573">
      <w:r>
        <w:separator/>
      </w:r>
    </w:p>
  </w:endnote>
  <w:endnote w:type="continuationSeparator" w:id="0">
    <w:p w14:paraId="5C5F1BDE" w14:textId="77777777" w:rsidR="00E70573" w:rsidRDefault="00E70573">
      <w:r>
        <w:continuationSeparator/>
      </w:r>
    </w:p>
  </w:endnote>
  <w:endnote w:type="continuationNotice" w:id="1">
    <w:p w14:paraId="35968A18" w14:textId="77777777" w:rsidR="00E70573" w:rsidRDefault="00E70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10A12CC9" w:rsidR="00EE1CC6" w:rsidRDefault="00EE1CC6">
        <w:pPr>
          <w:pStyle w:val="a9"/>
        </w:pPr>
        <w:r>
          <w:fldChar w:fldCharType="begin"/>
        </w:r>
        <w:r>
          <w:instrText>PAGE   \* MERGEFORMAT</w:instrText>
        </w:r>
        <w:r>
          <w:fldChar w:fldCharType="separate"/>
        </w:r>
        <w:r w:rsidR="00187A6E" w:rsidRPr="00187A6E">
          <w:rPr>
            <w:lang w:val="zh-CN" w:eastAsia="zh-CN"/>
          </w:rPr>
          <w:t>68</w:t>
        </w:r>
        <w:r>
          <w:fldChar w:fldCharType="end"/>
        </w:r>
      </w:p>
    </w:sdtContent>
  </w:sdt>
  <w:p w14:paraId="00A820FC" w14:textId="77777777" w:rsidR="00EE1CC6" w:rsidRDefault="00EE1CC6">
    <w:pPr>
      <w:pStyle w:val="a9"/>
    </w:pPr>
  </w:p>
  <w:p w14:paraId="4A48D3F3" w14:textId="77777777" w:rsidR="00EE1CC6" w:rsidRDefault="00EE1CC6"/>
  <w:p w14:paraId="46E31D82" w14:textId="77777777" w:rsidR="00EE1CC6" w:rsidRDefault="00EE1C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D9281" w14:textId="77777777" w:rsidR="00E70573" w:rsidRDefault="00E70573">
      <w:r>
        <w:separator/>
      </w:r>
    </w:p>
  </w:footnote>
  <w:footnote w:type="continuationSeparator" w:id="0">
    <w:p w14:paraId="59B9F36A" w14:textId="77777777" w:rsidR="00E70573" w:rsidRDefault="00E70573">
      <w:r>
        <w:continuationSeparator/>
      </w:r>
    </w:p>
  </w:footnote>
  <w:footnote w:type="continuationNotice" w:id="1">
    <w:p w14:paraId="40CADFA7" w14:textId="77777777" w:rsidR="00E70573" w:rsidRDefault="00E705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EE1CC6" w:rsidRDefault="00EE1CC6">
    <w:pPr>
      <w:pStyle w:val="a4"/>
      <w:tabs>
        <w:tab w:val="right" w:pos="9639"/>
      </w:tabs>
    </w:pPr>
    <w:r>
      <w:tab/>
    </w:r>
  </w:p>
  <w:p w14:paraId="246D48EC" w14:textId="77777777" w:rsidR="00EE1CC6" w:rsidRDefault="00EE1CC6"/>
  <w:p w14:paraId="4F6F578E" w14:textId="77777777" w:rsidR="00EE1CC6" w:rsidRDefault="00EE1C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A1808D-EB28-47CA-A9BB-CF393B1A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119</Pages>
  <Words>35563</Words>
  <Characters>202713</Characters>
  <Application>Microsoft Office Word</Application>
  <DocSecurity>0</DocSecurity>
  <Lines>1689</Lines>
  <Paragraphs>475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237801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桂鑫 (Xin Gui)</cp:lastModifiedBy>
  <cp:revision>2</cp:revision>
  <cp:lastPrinted>1900-12-31T16:00:00Z</cp:lastPrinted>
  <dcterms:created xsi:type="dcterms:W3CDTF">2020-08-27T04:27:00Z</dcterms:created>
  <dcterms:modified xsi:type="dcterms:W3CDTF">2020-08-27T04:27:00Z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