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D359B0">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328B90CB" w14:textId="7F073FFA"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4F616993" w14:textId="3D7BCCB9" w:rsidR="00BD0C01" w:rsidRDefault="00BD0C01" w:rsidP="00CA2EFC">
            <w:pPr>
              <w:spacing w:beforeLines="50" w:before="120"/>
              <w:rPr>
                <w:rFonts w:eastAsia="맑은 고딕"/>
                <w:kern w:val="2"/>
                <w:lang w:eastAsia="ko-KR"/>
              </w:rPr>
            </w:pPr>
            <w:r>
              <w:rPr>
                <w:rFonts w:eastAsia="맑은 고딕"/>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맑은 고딕"/>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맑은 고딕"/>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맑은 고딕"/>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맑은 고딕"/>
                <w:iCs/>
                <w:kern w:val="2"/>
                <w:lang w:eastAsia="ko-KR"/>
              </w:rPr>
            </w:pPr>
            <w:r>
              <w:rPr>
                <w:rFonts w:eastAsia="맑은 고딕" w:hint="eastAsia"/>
                <w:iCs/>
                <w:kern w:val="2"/>
                <w:lang w:eastAsia="ko-KR"/>
              </w:rPr>
              <w:t>ACK skipping can be considered as high priorit</w:t>
            </w:r>
            <w:r>
              <w:rPr>
                <w:rFonts w:eastAsia="맑은 고딕"/>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맑은 고딕"/>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맑은 고딕"/>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맑은 고딕"/>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맑은 고딕"/>
                <w:kern w:val="2"/>
                <w:lang w:eastAsia="ko-KR"/>
              </w:rPr>
            </w:pPr>
            <w:r>
              <w:rPr>
                <w:rFonts w:eastAsia="맑은 고딕"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맑은 고딕"/>
                <w:kern w:val="2"/>
                <w:lang w:eastAsia="ko-KR"/>
              </w:rPr>
            </w:pPr>
            <w:r>
              <w:rPr>
                <w:rFonts w:eastAsia="맑은 고딕"/>
                <w:kern w:val="2"/>
                <w:lang w:eastAsia="ko-KR"/>
              </w:rPr>
              <w:t xml:space="preserve">InterDigital </w:t>
            </w:r>
          </w:p>
        </w:tc>
        <w:tc>
          <w:tcPr>
            <w:tcW w:w="818" w:type="dxa"/>
          </w:tcPr>
          <w:p w14:paraId="35F136A7" w14:textId="7DFA585B"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맑은 고딕"/>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6E0CAAC8" w14:textId="07760232"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맑은 고딕"/>
                <w:bCs/>
                <w:iCs/>
                <w:kern w:val="2"/>
                <w:lang w:eastAsia="ko-KR"/>
              </w:rPr>
            </w:pPr>
            <w:r>
              <w:rPr>
                <w:rFonts w:eastAsia="맑은 고딕" w:hint="eastAsia"/>
                <w:bCs/>
                <w:iCs/>
                <w:kern w:val="2"/>
                <w:lang w:eastAsia="ko-KR"/>
              </w:rPr>
              <w:t xml:space="preserve">We have another </w:t>
            </w:r>
            <w:r>
              <w:rPr>
                <w:rFonts w:eastAsia="맑은 고딕"/>
                <w:bCs/>
                <w:iCs/>
                <w:kern w:val="2"/>
                <w:lang w:eastAsia="ko-KR"/>
              </w:rPr>
              <w:t>AI</w:t>
            </w:r>
            <w:r>
              <w:rPr>
                <w:rFonts w:eastAsia="맑은 고딕" w:hint="eastAsia"/>
                <w:bCs/>
                <w:iCs/>
                <w:kern w:val="2"/>
                <w:lang w:eastAsia="ko-KR"/>
              </w:rPr>
              <w:t xml:space="preserve"> to cover </w:t>
            </w:r>
            <w:r>
              <w:rPr>
                <w:rFonts w:eastAsia="맑은 고딕"/>
                <w:bCs/>
                <w:iCs/>
                <w:kern w:val="2"/>
                <w:lang w:eastAsia="ko-KR"/>
              </w:rPr>
              <w:t>dropping</w:t>
            </w:r>
            <w:r>
              <w:rPr>
                <w:rFonts w:eastAsia="맑은 고딕" w:hint="eastAsia"/>
                <w:bCs/>
                <w:iCs/>
                <w:kern w:val="2"/>
                <w:lang w:eastAsia="ko-KR"/>
              </w:rPr>
              <w:t xml:space="preserve"> </w:t>
            </w:r>
            <w:r>
              <w:rPr>
                <w:rFonts w:eastAsia="맑은 고딕"/>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48AAD3FA" w14:textId="2CC4F3F1"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5C92EBAB" w14:textId="31EF8EFB" w:rsidR="00BD0C01" w:rsidRDefault="00BD0C01" w:rsidP="00E531D6">
            <w:pPr>
              <w:widowControl w:val="0"/>
              <w:spacing w:beforeLines="50" w:before="120"/>
              <w:rPr>
                <w:rFonts w:eastAsia="맑은 고딕"/>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맑은 고딕"/>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맑은 고딕"/>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16E4AA1" w14:textId="6FDA9A91"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맑은 고딕"/>
                <w:kern w:val="2"/>
                <w:lang w:eastAsia="ko-KR"/>
              </w:rPr>
            </w:pPr>
            <w:r>
              <w:rPr>
                <w:rFonts w:eastAsia="맑은 고딕"/>
                <w:kern w:val="2"/>
                <w:lang w:eastAsia="ko-KR"/>
              </w:rPr>
              <w:t>InterDigital</w:t>
            </w:r>
          </w:p>
        </w:tc>
        <w:tc>
          <w:tcPr>
            <w:tcW w:w="818" w:type="dxa"/>
          </w:tcPr>
          <w:p w14:paraId="2CEC8B54" w14:textId="785B2E4D" w:rsidR="00E01491" w:rsidRDefault="00E0149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맑은 고딕"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맑은 고딕"/>
                <w:sz w:val="22"/>
                <w:lang w:val="en-US" w:eastAsia="ko-KR"/>
              </w:rPr>
            </w:pPr>
            <w:r w:rsidRPr="00A22521">
              <w:rPr>
                <w:rFonts w:eastAsia="맑은 고딕" w:hint="eastAsia"/>
                <w:sz w:val="22"/>
                <w:lang w:val="en-US" w:eastAsia="ko-KR"/>
              </w:rPr>
              <w:t xml:space="preserve">For the first and fourth bullet, </w:t>
            </w:r>
            <w:r w:rsidRPr="00A22521">
              <w:rPr>
                <w:rFonts w:eastAsia="맑은 고딕"/>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맑은 고딕"/>
                <w:sz w:val="22"/>
                <w:lang w:val="en-US" w:eastAsia="ko-KR"/>
              </w:rPr>
              <w:t>samsung</w:t>
            </w:r>
            <w:proofErr w:type="spellEnd"/>
            <w:r w:rsidRPr="00A22521">
              <w:rPr>
                <w:rFonts w:eastAsia="맑은 고딕"/>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맑은 고딕" w:hint="eastAsia"/>
                <w:sz w:val="22"/>
                <w:lang w:val="en-US" w:eastAsia="ko-KR"/>
              </w:rPr>
              <w:t xml:space="preserve">For the third bullet, </w:t>
            </w:r>
            <w:r w:rsidRPr="00A22521">
              <w:rPr>
                <w:rFonts w:eastAsia="맑은 고딕"/>
                <w:sz w:val="22"/>
                <w:lang w:val="en-US" w:eastAsia="ko-KR"/>
              </w:rPr>
              <w:t xml:space="preserve">it is true that the </w:t>
            </w:r>
            <w:proofErr w:type="spellStart"/>
            <w:r w:rsidRPr="00A22521">
              <w:rPr>
                <w:rFonts w:eastAsia="맑은 고딕"/>
                <w:sz w:val="22"/>
                <w:lang w:val="en-US" w:eastAsia="ko-KR"/>
              </w:rPr>
              <w:t>necesity</w:t>
            </w:r>
            <w:proofErr w:type="spellEnd"/>
            <w:r w:rsidRPr="00A22521">
              <w:rPr>
                <w:rFonts w:eastAsia="맑은 고딕"/>
                <w:sz w:val="22"/>
                <w:lang w:val="en-US" w:eastAsia="ko-KR"/>
              </w:rPr>
              <w:t xml:space="preserve"> could be minimized if it is supported to multiplex low priority HARQ-ACK from AI 8.3.3. Given that, we think it need to wait the </w:t>
            </w:r>
            <w:proofErr w:type="spellStart"/>
            <w:r w:rsidRPr="00A22521">
              <w:rPr>
                <w:rFonts w:eastAsia="맑은 고딕"/>
                <w:sz w:val="22"/>
                <w:lang w:val="en-US" w:eastAsia="ko-KR"/>
              </w:rPr>
              <w:t>decesion</w:t>
            </w:r>
            <w:proofErr w:type="spellEnd"/>
            <w:r w:rsidRPr="00A22521">
              <w:rPr>
                <w:rFonts w:eastAsia="맑은 고딕"/>
                <w:sz w:val="22"/>
                <w:lang w:val="en-US" w:eastAsia="ko-KR"/>
              </w:rPr>
              <w:t xml:space="preserve"> of AI 8.3.3 to discuss re-</w:t>
            </w:r>
            <w:proofErr w:type="spellStart"/>
            <w:r w:rsidRPr="00A22521">
              <w:rPr>
                <w:rFonts w:eastAsia="맑은 고딕"/>
                <w:sz w:val="22"/>
                <w:lang w:val="en-US" w:eastAsia="ko-KR"/>
              </w:rPr>
              <w:t>transmssion</w:t>
            </w:r>
            <w:proofErr w:type="spellEnd"/>
            <w:r w:rsidRPr="00A22521">
              <w:rPr>
                <w:rFonts w:eastAsia="맑은 고딕"/>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w:t>
            </w:r>
            <w:proofErr w:type="gramStart"/>
            <w:r>
              <w:rPr>
                <w:rFonts w:ascii="Calibri" w:hAnsi="Calibri"/>
                <w:sz w:val="22"/>
                <w:szCs w:val="22"/>
                <w:lang w:val="en-US"/>
              </w:rPr>
              <w:t>PF1 )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 xml:space="preserve">So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ko-KR"/>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ko-KR"/>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맑은 고딕"/>
                <w:iCs/>
                <w:kern w:val="2"/>
                <w:sz w:val="22"/>
                <w:szCs w:val="22"/>
                <w:lang w:eastAsia="ko-KR"/>
              </w:rPr>
              <w:t>We have s</w:t>
            </w:r>
            <w:r>
              <w:rPr>
                <w:rFonts w:eastAsia="맑은 고딕" w:hint="eastAsia"/>
                <w:iCs/>
                <w:kern w:val="2"/>
                <w:sz w:val="22"/>
                <w:szCs w:val="22"/>
                <w:lang w:eastAsia="ko-KR"/>
              </w:rPr>
              <w:t>imilar view to ZTE</w:t>
            </w:r>
            <w:r>
              <w:rPr>
                <w:rFonts w:eastAsia="맑은 고딕"/>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Currently it is a part of Rel-16 discussion. </w:t>
            </w:r>
            <w:r>
              <w:rPr>
                <w:rFonts w:eastAsia="맑은 고딕"/>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1DD5CB" w14:textId="45FEFD74"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9F91FA" w14:textId="77777777" w:rsidR="00103B58" w:rsidRDefault="00103B58" w:rsidP="004A5691">
            <w:pPr>
              <w:spacing w:beforeLines="50" w:before="120"/>
              <w:rPr>
                <w:rFonts w:eastAsia="맑은 고딕"/>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6183406E" w14:textId="45491009"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24C246" w14:textId="5089991D"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525694A" w14:textId="29197F34"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7770CE3F" w14:textId="531F56E3"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DA52F1D" w14:textId="77777777" w:rsidR="00B37E9D" w:rsidRDefault="00B37E9D" w:rsidP="00B37E9D">
            <w:pPr>
              <w:spacing w:beforeLines="50" w:before="120"/>
              <w:rPr>
                <w:rFonts w:eastAsia="맑은 고딕"/>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맑은 고딕"/>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145" w:type="dxa"/>
          </w:tcPr>
          <w:p w14:paraId="00218C94" w14:textId="7882E675"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1145" w:type="dxa"/>
          </w:tcPr>
          <w:p w14:paraId="04298FD0" w14:textId="6E2DDF3F"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ECBEAD" w14:textId="30C14C8D"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1E32B715" w14:textId="64B7BE3E"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55AB74B8" w14:textId="68386221"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796" w:type="dxa"/>
          </w:tcPr>
          <w:p w14:paraId="572805B5" w14:textId="2FD8522D"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맑은 고딕"/>
                <w:sz w:val="22"/>
                <w:lang w:val="fr-FR" w:eastAsia="ko-KR"/>
              </w:rPr>
            </w:pPr>
            <w:r>
              <w:rPr>
                <w:rFonts w:eastAsia="맑은 고딕"/>
                <w:sz w:val="22"/>
                <w:lang w:val="fr-FR" w:eastAsia="ko-KR"/>
              </w:rPr>
              <w:t>Intel</w:t>
            </w:r>
          </w:p>
        </w:tc>
        <w:tc>
          <w:tcPr>
            <w:tcW w:w="1145" w:type="dxa"/>
          </w:tcPr>
          <w:p w14:paraId="22D58AD7" w14:textId="099FD1B1" w:rsidR="00103B58" w:rsidRDefault="00103B5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맑은 고딕"/>
                <w:sz w:val="22"/>
                <w:lang w:val="fr-FR" w:eastAsia="ko-KR"/>
              </w:rPr>
            </w:pPr>
            <w:r>
              <w:rPr>
                <w:rFonts w:eastAsia="맑은 고딕"/>
                <w:sz w:val="22"/>
                <w:lang w:val="fr-FR" w:eastAsia="ko-KR"/>
              </w:rPr>
              <w:t>Ericsson</w:t>
            </w:r>
          </w:p>
        </w:tc>
        <w:tc>
          <w:tcPr>
            <w:tcW w:w="1145" w:type="dxa"/>
          </w:tcPr>
          <w:p w14:paraId="31838400" w14:textId="56E59FDD" w:rsidR="00363F18" w:rsidRDefault="00363F1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맑은 고딕"/>
                <w:sz w:val="22"/>
                <w:lang w:val="fr-FR" w:eastAsia="ko-KR"/>
              </w:rPr>
            </w:pPr>
            <w:r>
              <w:rPr>
                <w:rFonts w:eastAsia="맑은 고딕"/>
                <w:sz w:val="22"/>
                <w:lang w:val="fr-FR" w:eastAsia="ko-KR"/>
              </w:rPr>
              <w:t xml:space="preserve">Lenovo, Motorola </w:t>
            </w:r>
            <w:proofErr w:type="spellStart"/>
            <w:r>
              <w:rPr>
                <w:rFonts w:eastAsia="맑은 고딕"/>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맑은 고딕"/>
                <w:sz w:val="22"/>
                <w:lang w:val="fr-FR" w:eastAsia="ko-KR"/>
              </w:rPr>
            </w:pPr>
            <w:r>
              <w:rPr>
                <w:rFonts w:eastAsia="맑은 고딕"/>
                <w:sz w:val="22"/>
                <w:lang w:val="fr-FR" w:eastAsia="ko-KR"/>
              </w:rPr>
              <w:t>QC</w:t>
            </w:r>
          </w:p>
        </w:tc>
        <w:tc>
          <w:tcPr>
            <w:tcW w:w="1145" w:type="dxa"/>
          </w:tcPr>
          <w:p w14:paraId="39CE924F" w14:textId="28330950" w:rsidR="00CF339B" w:rsidRDefault="00CF339B" w:rsidP="00CF339B">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proofErr w:type="spellStart"/>
            <w:r>
              <w:rPr>
                <w:rFonts w:eastAsiaTheme="minorEastAsia" w:hint="eastAsia"/>
                <w:sz w:val="22"/>
                <w:lang w:val="fr-FR" w:eastAsia="zh-CN"/>
              </w:rPr>
              <w:t>H</w:t>
            </w:r>
            <w:r>
              <w:rPr>
                <w:rFonts w:eastAsiaTheme="minorEastAsia"/>
                <w:sz w:val="22"/>
                <w:lang w:val="fr-FR" w:eastAsia="zh-CN"/>
              </w:rPr>
              <w:t>uawei</w:t>
            </w:r>
            <w:proofErr w:type="spellEnd"/>
            <w:r>
              <w:rPr>
                <w:rFonts w:eastAsiaTheme="minorEastAsia"/>
                <w:sz w:val="22"/>
                <w:lang w:val="fr-FR" w:eastAsia="zh-CN"/>
              </w:rPr>
              <w:t xml:space="preserve">,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맑은 고딕"/>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굴림" w:eastAsia="굴림"/>
                <w:lang w:val="en-US" w:eastAsia="zh-CN"/>
              </w:rPr>
            </w:pPr>
            <w:r>
              <w:rPr>
                <w:b/>
                <w:bCs/>
              </w:rPr>
              <w:t>Conclusion</w:t>
            </w:r>
          </w:p>
          <w:p w14:paraId="50F529D6" w14:textId="77777777" w:rsidR="005F0572" w:rsidRDefault="005F0572" w:rsidP="005F0572">
            <w:pPr>
              <w:spacing w:after="120"/>
              <w:jc w:val="both"/>
              <w:rPr>
                <w:rFonts w:ascii="굴림" w:eastAsia="굴림"/>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굴림" w:eastAsia="굴림"/>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굴림" w:eastAsia="굴림"/>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맑은 고딕"/>
                <w:lang w:val="en-US" w:eastAsia="ko-KR"/>
              </w:rPr>
            </w:pPr>
            <w:r w:rsidRPr="00A22521">
              <w:rPr>
                <w:rFonts w:eastAsia="맑은 고딕"/>
                <w:lang w:val="en-US" w:eastAsia="ko-KR"/>
              </w:rPr>
              <w:t>T</w:t>
            </w:r>
            <w:r w:rsidRPr="00A22521">
              <w:rPr>
                <w:rFonts w:eastAsia="맑은 고딕" w:hint="eastAsia"/>
                <w:lang w:val="en-US" w:eastAsia="ko-KR"/>
              </w:rPr>
              <w:t xml:space="preserve">he </w:t>
            </w:r>
            <w:r w:rsidRPr="00A22521">
              <w:rPr>
                <w:rFonts w:eastAsia="맑은 고딕"/>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맑은 고딕"/>
                <w:lang w:val="en-US" w:eastAsia="ko-KR"/>
              </w:rPr>
              <w:t xml:space="preserve">In addition, regardless of RNTIs and the existence of </w:t>
            </w:r>
            <w:r w:rsidR="0035510D">
              <w:rPr>
                <w:rFonts w:eastAsia="맑은 고딕"/>
                <w:lang w:val="en-US" w:eastAsia="ko-KR"/>
              </w:rPr>
              <w:pgNum/>
            </w:r>
            <w:proofErr w:type="spellStart"/>
            <w:r w:rsidR="0035510D">
              <w:rPr>
                <w:rFonts w:eastAsia="맑은 고딕"/>
                <w:lang w:val="en-US" w:eastAsia="ko-KR"/>
              </w:rPr>
              <w:t>verriding</w:t>
            </w:r>
            <w:proofErr w:type="spellEnd"/>
            <w:r w:rsidRPr="00A22521">
              <w:rPr>
                <w:rFonts w:eastAsia="맑은 고딕"/>
                <w:lang w:val="en-US" w:eastAsia="ko-KR"/>
              </w:rPr>
              <w:t xml:space="preserve"> PDCCH, UE doesn’t expect to receive another PDSCH corresponding to a HARQ process before the transmission of HARQ-ACK for a PDSCH corresponding to the same HARQ process. (Thus, </w:t>
            </w:r>
            <w:r w:rsidR="0035510D">
              <w:rPr>
                <w:rFonts w:eastAsia="맑은 고딕"/>
                <w:lang w:val="en-US" w:eastAsia="ko-KR"/>
              </w:rPr>
              <w:pgNum/>
            </w:r>
            <w:proofErr w:type="spellStart"/>
            <w:r w:rsidR="0035510D">
              <w:rPr>
                <w:rFonts w:eastAsia="맑은 고딕"/>
                <w:lang w:val="en-US" w:eastAsia="ko-KR"/>
              </w:rPr>
              <w:t>verriding</w:t>
            </w:r>
            <w:proofErr w:type="spellEnd"/>
            <w:r w:rsidRPr="00A22521">
              <w:rPr>
                <w:rFonts w:eastAsia="맑은 고딕"/>
                <w:lang w:val="en-US" w:eastAsia="ko-KR"/>
              </w:rPr>
              <w:t xml:space="preserve"> DG PDSCH should be with different HARQ process ID unless it overrides all of SPS PDSCH repetitions). </w:t>
            </w:r>
            <w:proofErr w:type="spellStart"/>
            <w:r>
              <w:rPr>
                <w:rFonts w:eastAsia="맑은 고딕"/>
                <w:lang w:val="fr-FR" w:eastAsia="ko-KR"/>
              </w:rPr>
              <w:t>We</w:t>
            </w:r>
            <w:proofErr w:type="spellEnd"/>
            <w:r>
              <w:rPr>
                <w:rFonts w:eastAsia="맑은 고딕"/>
                <w:lang w:val="fr-FR" w:eastAsia="ko-KR"/>
              </w:rPr>
              <w:t xml:space="preserve"> </w:t>
            </w:r>
            <w:proofErr w:type="spellStart"/>
            <w:r>
              <w:rPr>
                <w:rFonts w:eastAsia="맑은 고딕"/>
                <w:lang w:val="fr-FR" w:eastAsia="ko-KR"/>
              </w:rPr>
              <w:t>think</w:t>
            </w:r>
            <w:proofErr w:type="spellEnd"/>
            <w:r>
              <w:rPr>
                <w:rFonts w:eastAsia="맑은 고딕"/>
                <w:lang w:val="fr-FR" w:eastAsia="ko-KR"/>
              </w:rPr>
              <w:t xml:space="preserve"> </w:t>
            </w:r>
            <w:proofErr w:type="spellStart"/>
            <w:r>
              <w:rPr>
                <w:rFonts w:eastAsia="맑은 고딕"/>
                <w:lang w:val="fr-FR" w:eastAsia="ko-KR"/>
              </w:rPr>
              <w:t>current</w:t>
            </w:r>
            <w:proofErr w:type="spellEnd"/>
            <w:r>
              <w:rPr>
                <w:rFonts w:eastAsia="맑은 고딕"/>
                <w:lang w:val="fr-FR" w:eastAsia="ko-KR"/>
              </w:rPr>
              <w:t xml:space="preserve"> </w:t>
            </w:r>
            <w:proofErr w:type="spellStart"/>
            <w:r>
              <w:rPr>
                <w:rFonts w:eastAsia="맑은 고딕"/>
                <w:lang w:val="fr-FR" w:eastAsia="ko-KR"/>
              </w:rPr>
              <w:t>specificaiton</w:t>
            </w:r>
            <w:proofErr w:type="spellEnd"/>
            <w:r>
              <w:rPr>
                <w:rFonts w:eastAsia="맑은 고딕"/>
                <w:lang w:val="fr-FR" w:eastAsia="ko-KR"/>
              </w:rPr>
              <w:t xml:space="preserve"> </w:t>
            </w:r>
            <w:proofErr w:type="spellStart"/>
            <w:r>
              <w:rPr>
                <w:rFonts w:eastAsia="맑은 고딕"/>
                <w:lang w:val="fr-FR" w:eastAsia="ko-KR"/>
              </w:rPr>
              <w:t>is</w:t>
            </w:r>
            <w:proofErr w:type="spellEnd"/>
            <w:r>
              <w:rPr>
                <w:rFonts w:eastAsia="맑은 고딕"/>
                <w:lang w:val="fr-FR" w:eastAsia="ko-KR"/>
              </w:rPr>
              <w:t xml:space="preserve"> </w:t>
            </w:r>
            <w:proofErr w:type="spellStart"/>
            <w:r>
              <w:rPr>
                <w:rFonts w:eastAsia="맑은 고딕"/>
                <w:lang w:val="fr-FR" w:eastAsia="ko-KR"/>
              </w:rPr>
              <w:t>clear</w:t>
            </w:r>
            <w:proofErr w:type="spellEnd"/>
            <w:r>
              <w:rPr>
                <w:rFonts w:eastAsia="맑은 고딕"/>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맑은 고딕"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맑은 고딕"/>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1"/>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1"/>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1"/>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1"/>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1"/>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1"/>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1"/>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1"/>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1"/>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1"/>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1"/>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1"/>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1"/>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1"/>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1"/>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1"/>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1"/>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1"/>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1"/>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1"/>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1"/>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af1"/>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af1"/>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af1"/>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af1"/>
        <w:numPr>
          <w:ilvl w:val="0"/>
          <w:numId w:val="46"/>
        </w:numPr>
        <w:rPr>
          <w:sz w:val="22"/>
          <w:szCs w:val="22"/>
        </w:rPr>
      </w:pPr>
      <w:r w:rsidRPr="00566BAF">
        <w:rPr>
          <w:sz w:val="22"/>
          <w:szCs w:val="22"/>
        </w:rPr>
        <w:t>….</w:t>
      </w:r>
    </w:p>
    <w:p w14:paraId="15340A0D" w14:textId="0C00F045" w:rsidR="00612140" w:rsidRDefault="00612140" w:rsidP="00612140">
      <w:pPr>
        <w:pStyle w:val="af1"/>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1"/>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1"/>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1"/>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w:t>
            </w:r>
            <w:r>
              <w:rPr>
                <w:rFonts w:eastAsia="맑은 고딕"/>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맑은 고딕"/>
                <w:iCs/>
                <w:kern w:val="2"/>
                <w:sz w:val="22"/>
                <w:szCs w:val="22"/>
                <w:lang w:eastAsia="ko-KR"/>
              </w:rPr>
            </w:pPr>
            <w:r>
              <w:rPr>
                <w:rFonts w:eastAsia="맑은 고딕" w:hint="eastAsia"/>
                <w:iCs/>
                <w:kern w:val="2"/>
                <w:sz w:val="22"/>
                <w:szCs w:val="22"/>
                <w:lang w:eastAsia="ko-KR"/>
              </w:rPr>
              <w:t xml:space="preserve">We understand the situation on the first and fourth bullets. </w:t>
            </w:r>
            <w:r>
              <w:rPr>
                <w:rFonts w:eastAsia="맑은 고딕"/>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맑은 고딕" w:hint="eastAsia"/>
                <w:sz w:val="22"/>
                <w:szCs w:val="22"/>
                <w:lang w:eastAsia="ko-KR"/>
              </w:rPr>
              <w:t>SPS HARQ enhancement</w:t>
            </w:r>
            <w:r>
              <w:rPr>
                <w:rFonts w:eastAsia="맑은 고딕"/>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맑은 고딕"/>
                <w:sz w:val="22"/>
                <w:szCs w:val="22"/>
                <w:lang w:eastAsia="ko-KR"/>
              </w:rPr>
            </w:pPr>
            <w:r>
              <w:rPr>
                <w:rFonts w:eastAsia="맑은 고딕" w:hint="eastAsia"/>
                <w:sz w:val="22"/>
                <w:szCs w:val="22"/>
                <w:lang w:eastAsia="ko-KR"/>
              </w:rPr>
              <w:t xml:space="preserve">This is just </w:t>
            </w:r>
            <w:r>
              <w:rPr>
                <w:rFonts w:eastAsia="맑은 고딕"/>
                <w:sz w:val="22"/>
                <w:szCs w:val="22"/>
                <w:lang w:eastAsia="ko-KR"/>
              </w:rPr>
              <w:t>adjustment</w:t>
            </w:r>
            <w:r>
              <w:rPr>
                <w:rFonts w:eastAsia="맑은 고딕" w:hint="eastAsia"/>
                <w:sz w:val="22"/>
                <w:szCs w:val="22"/>
                <w:lang w:eastAsia="ko-KR"/>
              </w:rPr>
              <w:t xml:space="preserve"> </w:t>
            </w:r>
            <w:r>
              <w:rPr>
                <w:rFonts w:eastAsia="맑은 고딕"/>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맑은 고딕"/>
                <w:sz w:val="22"/>
                <w:szCs w:val="22"/>
                <w:lang w:eastAsia="ko-KR"/>
              </w:rPr>
              <w:t>Retransmission of cancelled / dropped HARQ</w:t>
            </w:r>
            <w:r>
              <w:rPr>
                <w:rFonts w:eastAsia="맑은 고딕"/>
                <w:sz w:val="22"/>
                <w:szCs w:val="22"/>
                <w:lang w:eastAsia="ko-KR"/>
              </w:rPr>
              <w:t xml:space="preserve">”. </w:t>
            </w:r>
          </w:p>
        </w:tc>
      </w:tr>
    </w:tbl>
    <w:p w14:paraId="385A6E7E" w14:textId="77777777" w:rsidR="00697CB7" w:rsidRPr="00566BAF" w:rsidRDefault="00697CB7" w:rsidP="00612140">
      <w:pPr>
        <w:pStyle w:val="af1"/>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4"/>
        <w:rPr>
          <w:lang w:eastAsia="zh-CN"/>
        </w:rPr>
      </w:pPr>
      <w:r w:rsidRPr="003D55B9">
        <w:rPr>
          <w:highlight w:val="yellow"/>
          <w:lang w:eastAsia="zh-CN"/>
        </w:rPr>
        <w:lastRenderedPageBreak/>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r>
              <w:rPr>
                <w:rFonts w:eastAsia="맑은 고딕"/>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맑은 고딕" w:hint="eastAsia"/>
                <w:iCs/>
                <w:kern w:val="2"/>
                <w:sz w:val="22"/>
                <w:szCs w:val="22"/>
                <w:lang w:eastAsia="ko-KR"/>
              </w:rPr>
              <w:t xml:space="preserve">We are fine, but </w:t>
            </w:r>
            <w:r>
              <w:rPr>
                <w:rFonts w:eastAsia="맑은 고딕"/>
                <w:iCs/>
                <w:kern w:val="2"/>
                <w:sz w:val="22"/>
                <w:szCs w:val="22"/>
                <w:lang w:eastAsia="ko-KR"/>
              </w:rPr>
              <w:t xml:space="preserve">“support” seems strong wording for now. So, we would like to suggest “study”. </w:t>
            </w: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lastRenderedPageBreak/>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This can be discussed in this agenda although it is not first prioritized from our side. </w:t>
            </w:r>
          </w:p>
        </w:tc>
      </w:tr>
    </w:tbl>
    <w:p w14:paraId="11D40FEF" w14:textId="77777777" w:rsidR="00310AA8" w:rsidRPr="00566BA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xml:space="preserve">’ instead </w:t>
            </w:r>
            <w:r>
              <w:rPr>
                <w:iCs/>
                <w:kern w:val="2"/>
                <w:sz w:val="22"/>
                <w:szCs w:val="22"/>
                <w:lang w:eastAsia="zh-CN"/>
              </w:rPr>
              <w:lastRenderedPageBreak/>
              <w:t>‘to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We are okay to discuss this as one of possible solutions for </w:t>
            </w:r>
            <w:r w:rsidRPr="008D653A">
              <w:rPr>
                <w:rFonts w:eastAsia="맑은 고딕"/>
                <w:iCs/>
                <w:kern w:val="2"/>
                <w:sz w:val="22"/>
                <w:szCs w:val="22"/>
                <w:lang w:eastAsia="ko-KR"/>
              </w:rPr>
              <w:t>HARQ-ACK dropping for SPS</w:t>
            </w:r>
            <w:r>
              <w:rPr>
                <w:rFonts w:eastAsia="맑은 고딕"/>
                <w:iCs/>
                <w:kern w:val="2"/>
                <w:sz w:val="22"/>
                <w:szCs w:val="22"/>
                <w:lang w:eastAsia="ko-KR"/>
              </w:rPr>
              <w:t xml:space="preserve">. But, we don’t agree on this can be </w:t>
            </w:r>
            <w:r w:rsidRPr="008D653A">
              <w:rPr>
                <w:rFonts w:eastAsia="맑은 고딕"/>
                <w:iCs/>
                <w:kern w:val="2"/>
                <w:sz w:val="22"/>
                <w:szCs w:val="22"/>
                <w:lang w:eastAsia="ko-KR"/>
              </w:rPr>
              <w:t xml:space="preserve">re-transmission of </w:t>
            </w:r>
            <w:proofErr w:type="spellStart"/>
            <w:r w:rsidRPr="008D653A">
              <w:rPr>
                <w:rFonts w:eastAsia="맑은 고딕"/>
                <w:iCs/>
                <w:kern w:val="2"/>
                <w:sz w:val="22"/>
                <w:szCs w:val="22"/>
                <w:lang w:eastAsia="ko-KR"/>
              </w:rPr>
              <w:t>canceled</w:t>
            </w:r>
            <w:proofErr w:type="spellEnd"/>
            <w:r w:rsidRPr="008D653A">
              <w:rPr>
                <w:rFonts w:eastAsia="맑은 고딕"/>
                <w:iCs/>
                <w:kern w:val="2"/>
                <w:sz w:val="22"/>
                <w:szCs w:val="22"/>
                <w:lang w:eastAsia="ko-KR"/>
              </w:rPr>
              <w:t xml:space="preserve"> HARQ-ACK</w:t>
            </w:r>
            <w:r>
              <w:rPr>
                <w:rFonts w:eastAsia="맑은 고딕"/>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Actually, we don’t understand why this proposal is needed. Type 3 CB would be discussed without this proposal. </w:t>
            </w:r>
            <w:r>
              <w:rPr>
                <w:rFonts w:eastAsia="맑은 고딕"/>
                <w:iCs/>
                <w:kern w:val="2"/>
                <w:sz w:val="22"/>
                <w:szCs w:val="22"/>
                <w:lang w:eastAsia="ko-KR"/>
              </w:rPr>
              <w:t>Why only this item should be kindly suggested as something like a candidate solution?</w:t>
            </w:r>
            <w:bookmarkStart w:id="14" w:name="_GoBack"/>
            <w:bookmarkEnd w:id="14"/>
          </w:p>
          <w:p w14:paraId="19FAFA78" w14:textId="78971D4E"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맑은 고딕"/>
                <w:iCs/>
                <w:kern w:val="2"/>
                <w:sz w:val="22"/>
                <w:szCs w:val="22"/>
                <w:lang w:eastAsia="ko-KR"/>
              </w:rPr>
              <w:t>’s</w:t>
            </w:r>
            <w:proofErr w:type="spellEnd"/>
            <w:r>
              <w:rPr>
                <w:rFonts w:eastAsia="맑은 고딕"/>
                <w:iCs/>
                <w:kern w:val="2"/>
                <w:sz w:val="22"/>
                <w:szCs w:val="22"/>
                <w:lang w:eastAsia="ko-KR"/>
              </w:rPr>
              <w:t xml:space="preserve"> point, motivation of type 3 CB is not that very clear for URLLC enhancement although this can be studied for HARQ-ACK dropping for SPS. </w:t>
            </w:r>
          </w:p>
        </w:tc>
      </w:tr>
    </w:tbl>
    <w:p w14:paraId="4E1FE397" w14:textId="77777777" w:rsidR="00E8479E" w:rsidRPr="00566BAF" w:rsidRDefault="00E8479E" w:rsidP="00E8479E">
      <w:pPr>
        <w:pStyle w:val="af1"/>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lastRenderedPageBreak/>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맑은 고딕"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맑은 고딕"/>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맑은 고딕"/>
                <w:iCs/>
                <w:kern w:val="2"/>
                <w:lang w:eastAsia="ko-KR"/>
              </w:rPr>
            </w:pPr>
            <w:r>
              <w:rPr>
                <w:rFonts w:eastAsia="맑은 고딕"/>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맑은 고딕"/>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맑은 고딕"/>
                <w:iCs/>
                <w:kern w:val="2"/>
                <w:lang w:eastAsia="ko-KR"/>
              </w:rPr>
            </w:pPr>
            <w:r>
              <w:rPr>
                <w:rFonts w:eastAsia="맑은 고딕"/>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맑은 고딕"/>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lastRenderedPageBreak/>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맑은 고딕"/>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맑은 고딕"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맑은 고딕"/>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 xml:space="preserve">Lenovo, Motorola </w:t>
            </w:r>
            <w:r>
              <w:rPr>
                <w:kern w:val="2"/>
                <w:lang w:eastAsia="zh-CN"/>
              </w:rPr>
              <w:lastRenderedPageBreak/>
              <w:t>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lastRenderedPageBreak/>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lastRenderedPageBreak/>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맑은 고딕"/>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맑은 고딕"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맑은 고딕" w:hint="eastAsia"/>
                <w:iCs/>
                <w:kern w:val="2"/>
                <w:lang w:eastAsia="ko-KR"/>
              </w:rPr>
              <w:t xml:space="preserve">TBD. </w:t>
            </w:r>
            <w:r>
              <w:rPr>
                <w:rFonts w:eastAsia="맑은 고딕"/>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맑은 고딕"/>
                <w:kern w:val="2"/>
                <w:lang w:eastAsia="ko-KR"/>
              </w:rPr>
            </w:pPr>
            <w:r>
              <w:rPr>
                <w:rFonts w:eastAsia="맑은 고딕"/>
                <w:kern w:val="2"/>
                <w:lang w:eastAsia="ko-KR"/>
              </w:rPr>
              <w:t>InterDigital</w:t>
            </w:r>
          </w:p>
        </w:tc>
        <w:tc>
          <w:tcPr>
            <w:tcW w:w="7194" w:type="dxa"/>
          </w:tcPr>
          <w:p w14:paraId="66B91F20" w14:textId="42AE0014" w:rsidR="007525FE" w:rsidRDefault="007525FE" w:rsidP="00E531D6">
            <w:pPr>
              <w:widowControl w:val="0"/>
              <w:spacing w:beforeLines="50" w:before="120"/>
              <w:rPr>
                <w:rFonts w:eastAsia="맑은 고딕"/>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맑은 고딕"/>
                <w:kern w:val="2"/>
                <w:lang w:eastAsia="ko-KR"/>
              </w:rPr>
            </w:pPr>
            <w:r w:rsidRPr="00945041">
              <w:rPr>
                <w:rFonts w:eastAsia="맑은 고딕"/>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맑은 고딕"/>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lastRenderedPageBreak/>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lastRenderedPageBreak/>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맑은 고딕" w:hint="eastAsia"/>
                <w:kern w:val="2"/>
                <w:lang w:eastAsia="ko-KR"/>
              </w:rPr>
              <w:t xml:space="preserve">It may be </w:t>
            </w:r>
            <w:r>
              <w:rPr>
                <w:rFonts w:eastAsia="맑은 고딕"/>
                <w:kern w:val="2"/>
                <w:lang w:eastAsia="ko-KR"/>
              </w:rPr>
              <w:t>necessary</w:t>
            </w:r>
            <w:r>
              <w:rPr>
                <w:rFonts w:eastAsia="맑은 고딕" w:hint="eastAsia"/>
                <w:kern w:val="2"/>
                <w:lang w:eastAsia="ko-KR"/>
              </w:rPr>
              <w:t xml:space="preserve"> </w:t>
            </w:r>
            <w:r>
              <w:rPr>
                <w:rFonts w:eastAsia="맑은 고딕"/>
                <w:kern w:val="2"/>
                <w:lang w:eastAsia="ko-KR"/>
              </w:rPr>
              <w:t xml:space="preserve">to discuss for facilitating 1 slot periodicity SPS. As Configured grant, it can be considered for UE to skip SPS PDSCH occasion under some condition (i.e., </w:t>
            </w:r>
            <w:r>
              <w:rPr>
                <w:rFonts w:eastAsia="맑은 고딕" w:hint="eastAsia"/>
                <w:kern w:val="2"/>
                <w:lang w:eastAsia="ko-KR"/>
              </w:rPr>
              <w:t>timer</w:t>
            </w:r>
            <w:r>
              <w:rPr>
                <w:rFonts w:eastAsia="맑은 고딕"/>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lastRenderedPageBreak/>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맑은 고딕"/>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맑은 고딕"/>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맑은 고딕"/>
                <w:kern w:val="2"/>
                <w:lang w:eastAsia="ko-KR"/>
              </w:rPr>
            </w:pPr>
            <w:r>
              <w:rPr>
                <w:rFonts w:eastAsia="맑은 고딕"/>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맑은 고딕"/>
                <w:iCs/>
                <w:kern w:val="2"/>
                <w:lang w:eastAsia="ko-KR"/>
              </w:rPr>
            </w:pPr>
            <w:r>
              <w:rPr>
                <w:rFonts w:eastAsia="맑은 고딕"/>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맑은 고딕"/>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맑은 고딕"/>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맑은 고딕" w:hint="eastAsia"/>
                <w:kern w:val="2"/>
                <w:lang w:eastAsia="ko-KR"/>
              </w:rPr>
              <w:lastRenderedPageBreak/>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맑은 고딕"/>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49B76397"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High </w:t>
            </w:r>
          </w:p>
          <w:p w14:paraId="1B747D63"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맑은 고딕"/>
                <w:iCs/>
                <w:kern w:val="2"/>
                <w:lang w:eastAsia="ko-KR"/>
              </w:rPr>
            </w:pPr>
            <w:r w:rsidRPr="00F45289">
              <w:rPr>
                <w:rFonts w:eastAsia="맑은 고딕"/>
                <w:iCs/>
                <w:kern w:val="2"/>
                <w:lang w:eastAsia="ko-KR"/>
              </w:rPr>
              <w:t xml:space="preserve">Enabling dynamic repetition </w:t>
            </w:r>
            <w:r>
              <w:rPr>
                <w:rFonts w:eastAsia="맑은 고딕"/>
                <w:iCs/>
                <w:kern w:val="2"/>
                <w:lang w:eastAsia="ko-KR"/>
              </w:rPr>
              <w:t>T</w:t>
            </w:r>
            <w:r w:rsidRPr="00F45289">
              <w:rPr>
                <w:rFonts w:eastAsia="맑은 고딕"/>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맑은 고딕"/>
                <w:iCs/>
                <w:kern w:val="2"/>
                <w:lang w:eastAsia="ko-KR"/>
              </w:rPr>
            </w:pPr>
            <w:r>
              <w:rPr>
                <w:rFonts w:eastAsia="맑은 고딕"/>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맑은 고딕"/>
                <w:iCs/>
                <w:kern w:val="2"/>
                <w:lang w:eastAsia="ko-KR"/>
              </w:rPr>
            </w:pPr>
            <w:r>
              <w:rPr>
                <w:rFonts w:eastAsia="맑은 고딕"/>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맑은 고딕"/>
                <w:iCs/>
                <w:kern w:val="2"/>
                <w:lang w:eastAsia="ko-KR"/>
              </w:rPr>
            </w:pPr>
          </w:p>
          <w:p w14:paraId="62F4B432"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2DEA94DB" w14:textId="25FC1412" w:rsidR="003B3CEB" w:rsidRDefault="003B3CEB" w:rsidP="0057545B">
            <w:pPr>
              <w:widowControl w:val="0"/>
              <w:spacing w:beforeLines="50" w:before="120"/>
              <w:rPr>
                <w:rFonts w:eastAsia="맑은 고딕"/>
                <w:iCs/>
                <w:kern w:val="2"/>
                <w:lang w:eastAsia="ko-KR"/>
              </w:rPr>
            </w:pPr>
            <w:r>
              <w:rPr>
                <w:rFonts w:eastAsia="맑은 고딕"/>
                <w:iCs/>
                <w:kern w:val="2"/>
                <w:lang w:eastAsia="ko-KR"/>
              </w:rPr>
              <w:t>The topic is of low priority for this AI. I</w:t>
            </w:r>
            <w:r w:rsidR="001763E2">
              <w:rPr>
                <w:rFonts w:eastAsia="맑은 고딕"/>
                <w:iCs/>
                <w:kern w:val="2"/>
                <w:lang w:eastAsia="ko-KR"/>
              </w:rPr>
              <w:t xml:space="preserve">t is under discussion in the </w:t>
            </w:r>
            <w:proofErr w:type="spellStart"/>
            <w:r w:rsidR="001763E2">
              <w:rPr>
                <w:rFonts w:eastAsia="맑은 고딕"/>
                <w:iCs/>
                <w:kern w:val="2"/>
                <w:lang w:eastAsia="ko-KR"/>
              </w:rPr>
              <w:t>mTRP</w:t>
            </w:r>
            <w:proofErr w:type="spellEnd"/>
            <w:r w:rsidR="001763E2">
              <w:rPr>
                <w:rFonts w:eastAsia="맑은 고딕"/>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we already have </w:t>
            </w:r>
            <w:r>
              <w:rPr>
                <w:rFonts w:eastAsia="맑은 고딕"/>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 xml:space="preserve">considering the higher possibility of blockage for FR2 higher frequencies, a burst of four or more missed detection may occur across the slots/sub-slots due to mobility or fast fading. The </w:t>
      </w:r>
      <w:r w:rsidRPr="00BD3680">
        <w:rPr>
          <w:sz w:val="22"/>
          <w:szCs w:val="22"/>
          <w:lang w:val="en-US"/>
        </w:rPr>
        <w:lastRenderedPageBreak/>
        <w:t>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lastRenderedPageBreak/>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Could be medium. </w:t>
            </w:r>
            <w:r>
              <w:rPr>
                <w:rFonts w:eastAsia="맑은 고딕"/>
                <w:iCs/>
                <w:kern w:val="2"/>
                <w:lang w:eastAsia="ko-KR"/>
              </w:rPr>
              <w:t xml:space="preserve">However, </w:t>
            </w:r>
            <w:proofErr w:type="spellStart"/>
            <w:r>
              <w:rPr>
                <w:rFonts w:eastAsia="맑은 고딕"/>
                <w:iCs/>
                <w:kern w:val="2"/>
                <w:lang w:eastAsia="ko-KR"/>
              </w:rPr>
              <w:t>maxcoderate</w:t>
            </w:r>
            <w:proofErr w:type="spellEnd"/>
            <w:r>
              <w:rPr>
                <w:rFonts w:eastAsia="맑은 고딕"/>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맑은 고딕"/>
                <w:iCs/>
                <w:kern w:val="2"/>
                <w:lang w:eastAsia="ko-KR"/>
              </w:rPr>
            </w:pPr>
            <w:r>
              <w:rPr>
                <w:rFonts w:eastAsia="맑은 고딕"/>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맑은 고딕"/>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맑은 고딕"/>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맑은 고딕" w:hint="eastAsia"/>
                <w:kern w:val="2"/>
                <w:lang w:eastAsia="ko-KR"/>
              </w:rPr>
              <w:t xml:space="preserve">Low. </w:t>
            </w:r>
            <w:r>
              <w:rPr>
                <w:rFonts w:eastAsia="맑은 고딕"/>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맑은 고딕"/>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맑은 고딕"/>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맑은 고딕" w:hint="eastAsia"/>
                <w:kern w:val="2"/>
                <w:lang w:eastAsia="ko-KR"/>
              </w:rPr>
              <w:t>LG</w:t>
            </w:r>
            <w:r w:rsidR="007525FE">
              <w:rPr>
                <w:rFonts w:eastAsia="맑은 고딕"/>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맑은 고딕"/>
                <w:iCs/>
                <w:kern w:val="2"/>
                <w:lang w:eastAsia="ko-KR"/>
              </w:rPr>
              <w:t>The necessity of this issue is up to AI 8.3. Moreover, t</w:t>
            </w:r>
            <w:r>
              <w:rPr>
                <w:rFonts w:eastAsia="맑은 고딕" w:hint="eastAsia"/>
                <w:iCs/>
                <w:kern w:val="2"/>
                <w:lang w:eastAsia="ko-KR"/>
              </w:rPr>
              <w:t xml:space="preserve">his </w:t>
            </w:r>
            <w:r>
              <w:rPr>
                <w:rFonts w:eastAsia="맑은 고딕"/>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맑은 고딕"/>
                <w:kern w:val="2"/>
                <w:lang w:eastAsia="ko-KR"/>
              </w:rPr>
            </w:pPr>
            <w:r>
              <w:rPr>
                <w:rFonts w:eastAsia="맑은 고딕"/>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맑은 고딕"/>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맑은 고딕"/>
                <w:kern w:val="2"/>
                <w:lang w:eastAsia="ko-KR"/>
              </w:rPr>
            </w:pPr>
            <w:r>
              <w:rPr>
                <w:rFonts w:eastAsia="맑은 고딕"/>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맑은 고딕"/>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맑은 고딕"/>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맑은 고딕" w:hint="eastAsia"/>
                <w:kern w:val="2"/>
                <w:lang w:eastAsia="ko-KR"/>
              </w:rPr>
              <w:t>Low</w:t>
            </w:r>
            <w:r>
              <w:rPr>
                <w:rFonts w:eastAsia="맑은 고딕"/>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6F22DC6"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맑은 고딕"/>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맑은 고딕"/>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맑은 고딕" w:hint="eastAsia"/>
                <w:kern w:val="2"/>
                <w:lang w:eastAsia="ko-KR"/>
              </w:rPr>
              <w:t xml:space="preserve">Low. If it is an issue, we may </w:t>
            </w:r>
            <w:r>
              <w:rPr>
                <w:rFonts w:eastAsia="맑은 고딕"/>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DCDD44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맑은 고딕"/>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ABCAD0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35939717" w14:textId="52C3B971" w:rsidR="00BA4672" w:rsidRDefault="00697CD2" w:rsidP="0057545B">
            <w:pPr>
              <w:widowControl w:val="0"/>
              <w:spacing w:beforeLines="50" w:before="120"/>
              <w:rPr>
                <w:rFonts w:eastAsia="맑은 고딕"/>
                <w:kern w:val="2"/>
                <w:lang w:eastAsia="ko-KR"/>
              </w:rPr>
            </w:pPr>
            <w:r>
              <w:rPr>
                <w:rFonts w:eastAsia="맑은 고딕"/>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314836C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맑은 고딕"/>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맑은 고딕"/>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맑은 고딕"/>
                <w:iCs/>
                <w:kern w:val="2"/>
                <w:lang w:eastAsia="ko-KR"/>
              </w:rPr>
              <w:t>I</w:t>
            </w:r>
            <w:r>
              <w:rPr>
                <w:rFonts w:eastAsia="맑은 고딕" w:hint="eastAsia"/>
                <w:iCs/>
                <w:kern w:val="2"/>
                <w:lang w:eastAsia="ko-KR"/>
              </w:rPr>
              <w:t xml:space="preserve">t </w:t>
            </w:r>
            <w:r>
              <w:rPr>
                <w:rFonts w:eastAsia="맑은 고딕"/>
                <w:iCs/>
                <w:kern w:val="2"/>
                <w:lang w:eastAsia="ko-KR"/>
              </w:rPr>
              <w:t xml:space="preserve">needs to clarify current UE </w:t>
            </w:r>
            <w:r w:rsidR="00EF64F2">
              <w:rPr>
                <w:rFonts w:eastAsia="맑은 고딕"/>
                <w:iCs/>
                <w:kern w:val="2"/>
                <w:lang w:eastAsia="ko-KR"/>
              </w:rPr>
              <w:pgNum/>
            </w:r>
            <w:proofErr w:type="spellStart"/>
            <w:r w:rsidR="00EF64F2">
              <w:rPr>
                <w:rFonts w:eastAsia="맑은 고딕"/>
                <w:iCs/>
                <w:kern w:val="2"/>
                <w:lang w:eastAsia="ko-KR"/>
              </w:rPr>
              <w:t>ehaviour</w:t>
            </w:r>
            <w:proofErr w:type="spellEnd"/>
            <w:r>
              <w:rPr>
                <w:rFonts w:eastAsia="맑은 고딕"/>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맑은 고딕" w:hint="eastAsia"/>
                <w:kern w:val="2"/>
                <w:lang w:eastAsia="ko-KR"/>
              </w:rPr>
              <w:t xml:space="preserve">Low. </w:t>
            </w:r>
            <w:r>
              <w:rPr>
                <w:rFonts w:eastAsia="맑은 고딕"/>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맑은 고딕"/>
                <w:iCs/>
                <w:kern w:val="2"/>
                <w:lang w:eastAsia="ko-KR"/>
              </w:rPr>
            </w:pPr>
            <w:r>
              <w:rPr>
                <w:rFonts w:eastAsia="맑은 고딕"/>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0E1B0A6E" w14:textId="2E37617C" w:rsidR="0057545B" w:rsidRDefault="0057545B" w:rsidP="0057545B">
            <w:pPr>
              <w:widowControl w:val="0"/>
              <w:spacing w:beforeLines="50" w:before="120"/>
              <w:rPr>
                <w:rFonts w:eastAsia="맑은 고딕"/>
                <w:iCs/>
                <w:kern w:val="2"/>
                <w:lang w:eastAsia="ko-KR"/>
              </w:rPr>
            </w:pPr>
            <w:r>
              <w:rPr>
                <w:rFonts w:eastAsia="맑은 고딕"/>
                <w:iCs/>
                <w:kern w:val="2"/>
                <w:lang w:eastAsia="ko-KR"/>
              </w:rPr>
              <w:t>High</w:t>
            </w:r>
          </w:p>
          <w:p w14:paraId="20E105AF" w14:textId="396718DA"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As DCM mentioned, the work requires RAN4 </w:t>
            </w:r>
            <w:r w:rsidR="006B5DDF">
              <w:rPr>
                <w:rFonts w:eastAsia="맑은 고딕"/>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맑은 고딕"/>
                <w:iCs/>
                <w:kern w:val="2"/>
                <w:lang w:eastAsia="ko-KR"/>
              </w:rPr>
            </w:pPr>
            <w:r>
              <w:rPr>
                <w:rFonts w:eastAsia="맑은 고딕"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맑은 고딕"/>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맑은 고딕"/>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700FB7" w:rsidP="001B4F9F">
      <w:pPr>
        <w:pStyle w:val="af6"/>
        <w:tabs>
          <w:tab w:val="right" w:leader="dot" w:pos="9629"/>
        </w:tabs>
        <w:rPr>
          <w:rFonts w:asciiTheme="minorHAnsi" w:hAnsiTheme="minorHAnsi"/>
          <w:b w:val="0"/>
          <w:noProof/>
          <w:lang w:eastAsia="en-US"/>
        </w:rPr>
      </w:pPr>
      <w:hyperlink r:id="rId17"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700FB7" w:rsidP="001B4F9F">
      <w:pPr>
        <w:pStyle w:val="af6"/>
        <w:tabs>
          <w:tab w:val="right" w:leader="dot" w:pos="9629"/>
        </w:tabs>
        <w:rPr>
          <w:rFonts w:asciiTheme="minorHAnsi" w:hAnsiTheme="minorHAnsi"/>
          <w:b w:val="0"/>
          <w:noProof/>
          <w:lang w:eastAsia="en-US"/>
        </w:rPr>
      </w:pPr>
      <w:hyperlink r:id="rId18"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700FB7" w:rsidP="001B4F9F">
      <w:pPr>
        <w:pStyle w:val="af6"/>
        <w:tabs>
          <w:tab w:val="right" w:leader="dot" w:pos="9629"/>
        </w:tabs>
        <w:rPr>
          <w:rFonts w:asciiTheme="minorHAnsi" w:hAnsiTheme="minorHAnsi"/>
          <w:b w:val="0"/>
          <w:noProof/>
          <w:lang w:eastAsia="en-US"/>
        </w:rPr>
      </w:pPr>
      <w:hyperlink r:id="rId19"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700FB7" w:rsidP="001B4F9F">
      <w:pPr>
        <w:pStyle w:val="af6"/>
        <w:tabs>
          <w:tab w:val="right" w:leader="dot" w:pos="9629"/>
        </w:tabs>
        <w:rPr>
          <w:rFonts w:asciiTheme="minorHAnsi" w:hAnsiTheme="minorHAnsi"/>
          <w:b w:val="0"/>
          <w:noProof/>
          <w:lang w:eastAsia="en-US"/>
        </w:rPr>
      </w:pPr>
      <w:hyperlink r:id="rId21"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700FB7" w:rsidP="001B4F9F">
      <w:pPr>
        <w:pStyle w:val="af6"/>
        <w:tabs>
          <w:tab w:val="right" w:leader="dot" w:pos="9629"/>
        </w:tabs>
        <w:rPr>
          <w:rFonts w:asciiTheme="minorHAnsi" w:hAnsiTheme="minorHAnsi"/>
          <w:b w:val="0"/>
          <w:noProof/>
          <w:lang w:eastAsia="en-US"/>
        </w:rPr>
      </w:pPr>
      <w:hyperlink r:id="rId22"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700FB7" w:rsidP="001B4F9F">
      <w:pPr>
        <w:pStyle w:val="af6"/>
        <w:tabs>
          <w:tab w:val="right" w:leader="dot" w:pos="9629"/>
        </w:tabs>
        <w:rPr>
          <w:rFonts w:asciiTheme="minorHAnsi" w:hAnsiTheme="minorHAnsi"/>
          <w:b w:val="0"/>
          <w:noProof/>
          <w:lang w:eastAsia="en-US"/>
        </w:rPr>
      </w:pPr>
      <w:hyperlink r:id="rId23"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700FB7" w:rsidP="001B4F9F">
      <w:pPr>
        <w:pStyle w:val="af6"/>
        <w:tabs>
          <w:tab w:val="right" w:leader="dot" w:pos="9629"/>
        </w:tabs>
        <w:rPr>
          <w:rFonts w:asciiTheme="minorHAnsi" w:hAnsiTheme="minorHAnsi"/>
          <w:b w:val="0"/>
          <w:noProof/>
          <w:lang w:eastAsia="en-US"/>
        </w:rPr>
      </w:pPr>
      <w:hyperlink r:id="rId24"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700FB7" w:rsidP="001B4F9F">
      <w:pPr>
        <w:pStyle w:val="af6"/>
        <w:tabs>
          <w:tab w:val="right" w:leader="dot" w:pos="9629"/>
        </w:tabs>
        <w:rPr>
          <w:rFonts w:asciiTheme="minorHAnsi" w:hAnsiTheme="minorHAnsi"/>
          <w:b w:val="0"/>
          <w:noProof/>
          <w:lang w:eastAsia="en-US"/>
        </w:rPr>
      </w:pPr>
      <w:hyperlink r:id="rId25"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361A1" w14:textId="77777777" w:rsidR="00700FB7" w:rsidRDefault="00700FB7">
      <w:r>
        <w:separator/>
      </w:r>
    </w:p>
  </w:endnote>
  <w:endnote w:type="continuationSeparator" w:id="0">
    <w:p w14:paraId="5B7BAAA1" w14:textId="77777777" w:rsidR="00700FB7" w:rsidRDefault="00700FB7">
      <w:r>
        <w:continuationSeparator/>
      </w:r>
    </w:p>
  </w:endnote>
  <w:endnote w:type="continuationNotice" w:id="1">
    <w:p w14:paraId="6F916265" w14:textId="77777777" w:rsidR="00700FB7" w:rsidRDefault="00700FB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15C6CB5A" w:rsidR="00BE5375" w:rsidRDefault="00BE5375">
        <w:pPr>
          <w:pStyle w:val="a9"/>
        </w:pPr>
        <w:r>
          <w:fldChar w:fldCharType="begin"/>
        </w:r>
        <w:r>
          <w:instrText>PAGE   \* MERGEFORMAT</w:instrText>
        </w:r>
        <w:r>
          <w:fldChar w:fldCharType="separate"/>
        </w:r>
        <w:r w:rsidR="00873CF2" w:rsidRPr="00873CF2">
          <w:rPr>
            <w:lang w:val="zh-CN" w:eastAsia="zh-CN"/>
          </w:rPr>
          <w:t>49</w:t>
        </w:r>
        <w:r>
          <w:fldChar w:fldCharType="end"/>
        </w:r>
      </w:p>
    </w:sdtContent>
  </w:sdt>
  <w:p w14:paraId="00A820FC" w14:textId="77777777" w:rsidR="00BE5375" w:rsidRDefault="00BE5375">
    <w:pPr>
      <w:pStyle w:val="a9"/>
    </w:pPr>
  </w:p>
  <w:p w14:paraId="4A48D3F3" w14:textId="77777777" w:rsidR="00BE5375" w:rsidRDefault="00BE5375"/>
  <w:p w14:paraId="46E31D82" w14:textId="77777777" w:rsidR="00BE5375" w:rsidRDefault="00BE53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D464B" w14:textId="77777777" w:rsidR="00700FB7" w:rsidRDefault="00700FB7">
      <w:r>
        <w:separator/>
      </w:r>
    </w:p>
  </w:footnote>
  <w:footnote w:type="continuationSeparator" w:id="0">
    <w:p w14:paraId="76E33597" w14:textId="77777777" w:rsidR="00700FB7" w:rsidRDefault="00700FB7">
      <w:r>
        <w:continuationSeparator/>
      </w:r>
    </w:p>
  </w:footnote>
  <w:footnote w:type="continuationNotice" w:id="1">
    <w:p w14:paraId="5E8997F1" w14:textId="77777777" w:rsidR="00700FB7" w:rsidRDefault="00700FB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BE5375" w:rsidRDefault="00BE5375">
    <w:pPr>
      <w:pStyle w:val="a4"/>
      <w:tabs>
        <w:tab w:val="right" w:pos="9639"/>
      </w:tabs>
    </w:pPr>
    <w:r>
      <w:tab/>
    </w:r>
  </w:p>
  <w:p w14:paraId="246D48EC" w14:textId="77777777" w:rsidR="00BE5375" w:rsidRDefault="00BE5375"/>
  <w:p w14:paraId="4F6F578E" w14:textId="77777777" w:rsidR="00BE5375" w:rsidRDefault="00BE53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9"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7"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0"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4"/>
  </w:num>
  <w:num w:numId="2">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5"/>
  </w:num>
  <w:num w:numId="5">
    <w:abstractNumId w:val="48"/>
  </w:num>
  <w:num w:numId="6">
    <w:abstractNumId w:val="58"/>
  </w:num>
  <w:num w:numId="7">
    <w:abstractNumId w:val="19"/>
  </w:num>
  <w:num w:numId="8">
    <w:abstractNumId w:val="53"/>
  </w:num>
  <w:num w:numId="9">
    <w:abstractNumId w:val="12"/>
  </w:num>
  <w:num w:numId="10">
    <w:abstractNumId w:val="22"/>
  </w:num>
  <w:num w:numId="11">
    <w:abstractNumId w:val="55"/>
  </w:num>
  <w:num w:numId="12">
    <w:abstractNumId w:val="1"/>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8"/>
  </w:num>
  <w:num w:numId="17">
    <w:abstractNumId w:val="7"/>
  </w:num>
  <w:num w:numId="18">
    <w:abstractNumId w:val="24"/>
  </w:num>
  <w:num w:numId="19">
    <w:abstractNumId w:val="42"/>
  </w:num>
  <w:num w:numId="20">
    <w:abstractNumId w:val="44"/>
  </w:num>
  <w:num w:numId="21">
    <w:abstractNumId w:val="23"/>
  </w:num>
  <w:num w:numId="22">
    <w:abstractNumId w:val="10"/>
  </w:num>
  <w:num w:numId="23">
    <w:abstractNumId w:val="50"/>
  </w:num>
  <w:num w:numId="24">
    <w:abstractNumId w:val="43"/>
  </w:num>
  <w:num w:numId="25">
    <w:abstractNumId w:val="34"/>
  </w:num>
  <w:num w:numId="26">
    <w:abstractNumId w:val="16"/>
  </w:num>
  <w:num w:numId="27">
    <w:abstractNumId w:val="37"/>
  </w:num>
  <w:num w:numId="28">
    <w:abstractNumId w:val="45"/>
  </w:num>
  <w:num w:numId="29">
    <w:abstractNumId w:val="26"/>
  </w:num>
  <w:num w:numId="30">
    <w:abstractNumId w:val="32"/>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62"/>
  </w:num>
  <w:num w:numId="34">
    <w:abstractNumId w:val="28"/>
  </w:num>
  <w:num w:numId="35">
    <w:abstractNumId w:val="11"/>
  </w:num>
  <w:num w:numId="36">
    <w:abstractNumId w:val="59"/>
  </w:num>
  <w:num w:numId="3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5"/>
  </w:num>
  <w:num w:numId="40">
    <w:abstractNumId w:val="3"/>
  </w:num>
  <w:num w:numId="41">
    <w:abstractNumId w:val="17"/>
  </w:num>
  <w:num w:numId="42">
    <w:abstractNumId w:val="25"/>
  </w:num>
  <w:num w:numId="43">
    <w:abstractNumId w:val="35"/>
  </w:num>
  <w:num w:numId="44">
    <w:abstractNumId w:val="21"/>
  </w:num>
  <w:num w:numId="45">
    <w:abstractNumId w:val="29"/>
  </w:num>
  <w:num w:numId="46">
    <w:abstractNumId w:val="2"/>
  </w:num>
  <w:num w:numId="47">
    <w:abstractNumId w:val="14"/>
  </w:num>
  <w:num w:numId="48">
    <w:abstractNumId w:val="46"/>
  </w:num>
  <w:num w:numId="49">
    <w:abstractNumId w:val="60"/>
  </w:num>
  <w:num w:numId="50">
    <w:abstractNumId w:val="2"/>
  </w:num>
  <w:num w:numId="51">
    <w:abstractNumId w:val="20"/>
  </w:num>
  <w:num w:numId="52">
    <w:abstractNumId w:val="61"/>
  </w:num>
  <w:num w:numId="53">
    <w:abstractNumId w:val="36"/>
  </w:num>
  <w:num w:numId="54">
    <w:abstractNumId w:val="41"/>
  </w:num>
  <w:num w:numId="55">
    <w:abstractNumId w:val="0"/>
  </w:num>
  <w:num w:numId="56">
    <w:abstractNumId w:val="9"/>
  </w:num>
  <w:num w:numId="57">
    <w:abstractNumId w:val="31"/>
  </w:num>
  <w:num w:numId="58">
    <w:abstractNumId w:val="40"/>
  </w:num>
  <w:num w:numId="59">
    <w:abstractNumId w:val="39"/>
  </w:num>
  <w:num w:numId="60">
    <w:abstractNumId w:val="49"/>
  </w:num>
  <w:num w:numId="61">
    <w:abstractNumId w:val="13"/>
  </w:num>
  <w:num w:numId="62">
    <w:abstractNumId w:val="18"/>
  </w:num>
  <w:num w:numId="63">
    <w:abstractNumId w:val="27"/>
  </w:num>
  <w:num w:numId="64">
    <w:abstractNumId w:val="47"/>
  </w:num>
  <w:num w:numId="65">
    <w:abstractNumId w:val="33"/>
  </w:num>
  <w:num w:numId="66">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EAFF27-F375-41C3-8116-80C37B46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108</Pages>
  <Words>32184</Words>
  <Characters>183451</Characters>
  <Application>Microsoft Office Word</Application>
  <DocSecurity>0</DocSecurity>
  <Lines>1528</Lines>
  <Paragraphs>430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215205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박성진/표준연구팀(SR)/Staff Engineer/삼성전자</cp:lastModifiedBy>
  <cp:revision>4</cp:revision>
  <cp:lastPrinted>1900-12-31T16:00:00Z</cp:lastPrinted>
  <dcterms:created xsi:type="dcterms:W3CDTF">2020-08-26T00:21:00Z</dcterms:created>
  <dcterms:modified xsi:type="dcterms:W3CDTF">2020-08-26T00:24:00Z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